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B5" w:rsidRDefault="00C20E82">
      <w:r>
        <w:rPr>
          <w:noProof/>
        </w:rPr>
        <w:pict>
          <v:rect id="_x0000_s1031" style="position:absolute;margin-left:0;margin-top:-14.35pt;width:467.95pt;height:235.95pt;z-index:251664384;mso-width-percent:1000;mso-position-horizontal-relative:margin;mso-position-vertical-relative:margin;mso-width-percent:1000;mso-width-relative:margin;mso-height-relative:margin;v-text-anchor:bottom" o:regroupid="2" fillcolor="#17365d" stroked="f">
            <v:textbox style="mso-next-textbox:#_x0000_s1031" inset="18pt,,108pt,0">
              <w:txbxContent>
                <w:p w:rsidR="00CD560D" w:rsidRPr="00645899" w:rsidRDefault="00CD560D" w:rsidP="001555B5">
                  <w:pPr>
                    <w:pStyle w:val="NoSpacing"/>
                    <w:rPr>
                      <w:rFonts w:ascii="Cambria" w:hAnsi="Cambria"/>
                      <w:sz w:val="84"/>
                      <w:szCs w:val="84"/>
                    </w:rPr>
                  </w:pPr>
                  <w:r w:rsidRPr="00645899">
                    <w:rPr>
                      <w:rFonts w:ascii="Cambria" w:hAnsi="Cambria"/>
                      <w:smallCaps/>
                      <w:sz w:val="96"/>
                      <w:szCs w:val="84"/>
                    </w:rPr>
                    <w:t>Risk, Insurance, And Cost Control Survey</w:t>
                  </w:r>
                </w:p>
              </w:txbxContent>
            </v:textbox>
            <w10:wrap anchorx="margin" anchory="margin"/>
          </v:rect>
        </w:pict>
      </w:r>
    </w:p>
    <w:p w:rsidR="001555B5" w:rsidRDefault="001555B5"/>
    <w:p w:rsidR="001555B5" w:rsidRPr="00A3554E" w:rsidRDefault="00C20E82" w:rsidP="00A3554E">
      <w:pPr>
        <w:rPr>
          <w:color w:val="7F7F7F"/>
          <w:sz w:val="40"/>
          <w:szCs w:val="40"/>
        </w:rPr>
      </w:pPr>
      <w:r w:rsidRPr="00C20E82">
        <w:rPr>
          <w:noProof/>
        </w:rPr>
        <w:pict>
          <v:rect id="_x0000_s1028" style="position:absolute;margin-left:328.55pt;margin-top:452.45pt;width:161.45pt;height:69.85pt;z-index:251662336;mso-position-horizontal-relative:margin;mso-position-vertical-relative:margin;mso-width-relative:margin;mso-height-relative:margin;v-text-anchor:bottom" o:regroupid="1" filled="f" fillcolor="#c0504d" stroked="f" strokecolor="white" strokeweight="1.5pt">
            <v:textbox style="mso-next-textbox:#_x0000_s1028" inset="0">
              <w:txbxContent>
                <w:p w:rsidR="00CD560D" w:rsidRPr="000E4CC0" w:rsidRDefault="00CD560D" w:rsidP="000E4CC0">
                  <w:pPr>
                    <w:spacing w:after="0"/>
                    <w:jc w:val="right"/>
                    <w:rPr>
                      <w:color w:val="7F7F7F"/>
                      <w:sz w:val="40"/>
                      <w:szCs w:val="40"/>
                    </w:rPr>
                  </w:pPr>
                  <w:r w:rsidRPr="000E4CC0">
                    <w:rPr>
                      <w:color w:val="7F7F7F"/>
                      <w:sz w:val="40"/>
                      <w:szCs w:val="40"/>
                    </w:rPr>
                    <w:t xml:space="preserve">Created By: </w:t>
                  </w:r>
                </w:p>
                <w:p w:rsidR="00CD560D" w:rsidRPr="00B402EB" w:rsidRDefault="00CD560D" w:rsidP="000E4CC0">
                  <w:pPr>
                    <w:spacing w:after="0"/>
                    <w:jc w:val="right"/>
                    <w:rPr>
                      <w:color w:val="7F7F7F"/>
                      <w:sz w:val="24"/>
                      <w:szCs w:val="28"/>
                    </w:rPr>
                  </w:pPr>
                  <w:r w:rsidRPr="00B402EB">
                    <w:rPr>
                      <w:color w:val="7F7F7F"/>
                      <w:sz w:val="24"/>
                      <w:szCs w:val="28"/>
                    </w:rPr>
                    <w:t>Robert N. Madeley, MBA</w:t>
                  </w:r>
                </w:p>
                <w:p w:rsidR="00CD560D" w:rsidRPr="00B402EB" w:rsidRDefault="00CD560D" w:rsidP="000E4CC0">
                  <w:pPr>
                    <w:spacing w:after="0"/>
                    <w:jc w:val="right"/>
                    <w:rPr>
                      <w:b/>
                      <w:bCs/>
                      <w:color w:val="7F7F7F"/>
                      <w:spacing w:val="60"/>
                      <w:sz w:val="24"/>
                      <w:szCs w:val="28"/>
                    </w:rPr>
                  </w:pPr>
                  <w:r>
                    <w:rPr>
                      <w:color w:val="7F7F7F"/>
                      <w:sz w:val="24"/>
                      <w:szCs w:val="28"/>
                    </w:rPr>
                    <w:t>Licensed Risk Manager</w:t>
                  </w:r>
                </w:p>
                <w:p w:rsidR="00CD560D" w:rsidRPr="00645899" w:rsidRDefault="00CD560D">
                  <w:pPr>
                    <w:jc w:val="right"/>
                    <w:rPr>
                      <w:b/>
                      <w:bCs/>
                      <w:color w:val="7F7F7F"/>
                      <w:spacing w:val="60"/>
                      <w:sz w:val="28"/>
                      <w:szCs w:val="28"/>
                    </w:rPr>
                  </w:pPr>
                </w:p>
              </w:txbxContent>
            </v:textbox>
            <w10:wrap anchorx="margin" anchory="margin"/>
          </v:rect>
        </w:pict>
      </w:r>
      <w:r w:rsidRPr="00C20E82">
        <w:rPr>
          <w:noProof/>
        </w:rPr>
        <w:pict>
          <v:group id="_x0000_s1041" style="position:absolute;margin-left:-9.4pt;margin-top:476.9pt;width:70.2pt;height:66.9pt;rotation:-2777683fd;z-index:251692032" coordorigin="1074935,1063224" coordsize="10619,10862">
            <v:shape id="Puzzle4" o:spid="_x0000_s1042" style="position:absolute;left:1076293;top:1067619;width:4035;height:6468" coordsize="21600,21600" o:spt="100" adj="-11796480,,5400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ccc" strokecolor="#ccc" strokeweight="2.25pt">
              <v:stroke joinstyle="miter"/>
              <v:formulas/>
              <v:path o:connecttype="custom" o:connectlocs="8307,11593;453,16938;11500,21600;20920,16751;13972,10888;21033,4716;11102,11;453,4716" textboxrect="2076,5664,20203,15980"/>
              <o:lock v:ext="edit" verticies="t"/>
            </v:shape>
            <v:shape id="Puzzle2" o:spid="_x0000_s1043" style="position:absolute;left:1078909;top:1067682;width:6646;height:5149" coordsize="21600,21600" o:spt="100" adj="-11796480,,5400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a50021" strokecolor="#a50021" strokeweight="2.25pt">
              <v:stroke joinstyle="miter"/>
              <v:formulas/>
              <v:path o:connecttype="custom" o:connectlocs="11,13386;4202,21161;10400,13909;16821,21190;21600,15083;16889,5739;10800,28;4202,5894" textboxrect="5388,6742,16177,20441"/>
              <o:lock v:ext="edit" verticies="t"/>
            </v:shape>
            <v:shape id="Puzzle1" o:spid="_x0000_s1044" style="position:absolute;left:1074935;top:1064974;width:6728;height:3951" coordsize="21600,21600" o:spt="100" adj="-11796480,,5400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5f5f5f" strokecolor="#5f5f5f" strokeweight="2.25pt">
              <v:fill recolor="t" rotate="t"/>
              <v:stroke joinstyle="miter"/>
              <v:formulas/>
              <v:path o:connecttype="custom" o:connectlocs="16740,21078;16976,521;4725,856;5040,21004;10811,12885;10845,8714;21600,10000;56,10000" textboxrect="6086,2569,16132,19552"/>
              <o:lock v:ext="edit" verticies="t"/>
            </v:shape>
            <v:shape id="Puzzle3" o:spid="_x0000_s1045" style="position:absolute;left:1080167;top:1063224;width:4164;height:5837" coordsize="21600,21600" o:spt="100" adj="-11796480,,5400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black [0]" strokeweight="2.25pt">
              <v:fill recolor="t" rotate="t"/>
              <v:stroke joinstyle="miter"/>
              <v:formulas/>
              <v:path o:connecttype="custom" o:connectlocs="10391,15806;20551,21088;13180,13801;20551,7025;10500,52;692,6802;8064,13526;692,21088" textboxrect="2273,7719,19149,20237"/>
              <o:lock v:ext="edit" verticies="t"/>
            </v:shape>
          </v:group>
        </w:pict>
      </w:r>
      <w:r w:rsidRPr="00C20E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98.65pt;margin-top:469.1pt;width:222.4pt;height:126.9pt;z-index:251691008" stroked="f">
            <v:textbox style="mso-next-textbox:#_x0000_s1039">
              <w:txbxContent>
                <w:p w:rsidR="00CD560D" w:rsidRDefault="00CD560D" w:rsidP="00B402EB">
                  <w:pPr>
                    <w:jc w:val="right"/>
                  </w:pPr>
                  <w:r w:rsidRPr="00B402EB">
                    <w:rPr>
                      <w:noProof/>
                    </w:rPr>
                    <w:drawing>
                      <wp:inline distT="0" distB="0" distL="0" distR="0">
                        <wp:extent cx="2143218" cy="1377403"/>
                        <wp:effectExtent l="171450" t="133350" r="390432" b="318047"/>
                        <wp:docPr id="5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9963" cy="138173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20E82">
        <w:rPr>
          <w:noProof/>
        </w:rPr>
        <w:pict>
          <v:shape id="_x0000_s1048" type="#_x0000_t202" style="position:absolute;margin-left:130.15pt;margin-top:514.35pt;width:139.5pt;height:88.95pt;z-index:25169408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CD560D" w:rsidRPr="000C0722" w:rsidRDefault="00CD560D" w:rsidP="000E4CC0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mallCaps/>
                      <w:sz w:val="20"/>
                      <w:szCs w:val="20"/>
                    </w:rPr>
                  </w:pPr>
                  <w:proofErr w:type="gramStart"/>
                  <w:r w:rsidRPr="000C0722">
                    <w:rPr>
                      <w:rFonts w:ascii="Times New Roman" w:hAnsi="Times New Roman"/>
                      <w:smallCaps/>
                      <w:sz w:val="20"/>
                      <w:szCs w:val="20"/>
                    </w:rPr>
                    <w:t>4144 North Central Expy.</w:t>
                  </w:r>
                  <w:proofErr w:type="gramEnd"/>
                </w:p>
                <w:p w:rsidR="00CD560D" w:rsidRPr="000C0722" w:rsidRDefault="00CD560D" w:rsidP="000E4CC0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mallCaps/>
                      <w:sz w:val="20"/>
                      <w:szCs w:val="20"/>
                    </w:rPr>
                  </w:pPr>
                  <w:r w:rsidRPr="000C0722">
                    <w:rPr>
                      <w:rFonts w:ascii="Times New Roman" w:hAnsi="Times New Roman"/>
                      <w:smallCaps/>
                      <w:sz w:val="20"/>
                      <w:szCs w:val="20"/>
                    </w:rPr>
                    <w:t>Suite 410</w:t>
                  </w:r>
                </w:p>
                <w:p w:rsidR="00CD560D" w:rsidRPr="000C0722" w:rsidRDefault="00CD560D" w:rsidP="000E4CC0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mallCaps/>
                      <w:sz w:val="20"/>
                      <w:szCs w:val="20"/>
                    </w:rPr>
                  </w:pPr>
                  <w:r w:rsidRPr="000C0722">
                    <w:rPr>
                      <w:rFonts w:ascii="Times New Roman" w:hAnsi="Times New Roman"/>
                      <w:smallCaps/>
                      <w:sz w:val="20"/>
                      <w:szCs w:val="20"/>
                    </w:rPr>
                    <w:t xml:space="preserve">Dallas, TX 75204 </w:t>
                  </w:r>
                </w:p>
                <w:p w:rsidR="00CD560D" w:rsidRPr="000C0722" w:rsidRDefault="00CD560D" w:rsidP="000E4CC0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mallCaps/>
                      <w:sz w:val="20"/>
                      <w:szCs w:val="20"/>
                    </w:rPr>
                  </w:pPr>
                  <w:r w:rsidRPr="000C0722">
                    <w:rPr>
                      <w:rFonts w:ascii="Times New Roman" w:hAnsi="Times New Roman"/>
                      <w:smallCaps/>
                      <w:sz w:val="20"/>
                      <w:szCs w:val="20"/>
                    </w:rPr>
                    <w:t>Ph: 214</w:t>
                  </w:r>
                  <w:r w:rsidRPr="000C0722">
                    <w:rPr>
                      <w:rFonts w:ascii="Times New Roman" w:hAnsi="Times New Roman"/>
                      <w:smallCaps/>
                      <w:color w:val="CC0000"/>
                      <w:sz w:val="20"/>
                      <w:szCs w:val="20"/>
                    </w:rPr>
                    <w:t>/</w:t>
                  </w:r>
                  <w:r w:rsidRPr="000C0722">
                    <w:rPr>
                      <w:rFonts w:ascii="Times New Roman" w:hAnsi="Times New Roman"/>
                      <w:smallCaps/>
                      <w:sz w:val="20"/>
                      <w:szCs w:val="20"/>
                    </w:rPr>
                    <w:t>528-1435</w:t>
                  </w:r>
                </w:p>
                <w:p w:rsidR="00CD560D" w:rsidRPr="000C0722" w:rsidRDefault="00CD560D" w:rsidP="000E4CC0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mallCaps/>
                    </w:rPr>
                  </w:pPr>
                  <w:r w:rsidRPr="000C0722">
                    <w:rPr>
                      <w:rFonts w:ascii="Times New Roman" w:hAnsi="Times New Roman"/>
                      <w:smallCaps/>
                    </w:rPr>
                    <w:t>Toll Free: 800</w:t>
                  </w:r>
                  <w:r w:rsidRPr="000C0722">
                    <w:rPr>
                      <w:rFonts w:ascii="Times New Roman" w:hAnsi="Times New Roman"/>
                      <w:smallCaps/>
                      <w:color w:val="CC0000"/>
                    </w:rPr>
                    <w:t>/</w:t>
                  </w:r>
                  <w:r w:rsidRPr="000C0722">
                    <w:rPr>
                      <w:rFonts w:ascii="Times New Roman" w:hAnsi="Times New Roman"/>
                      <w:smallCaps/>
                    </w:rPr>
                    <w:t>382-7741</w:t>
                  </w:r>
                </w:p>
                <w:p w:rsidR="00CD560D" w:rsidRPr="000C0722" w:rsidRDefault="00CD560D" w:rsidP="000E4CC0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mallCaps/>
                    </w:rPr>
                  </w:pPr>
                  <w:r w:rsidRPr="000C0722">
                    <w:rPr>
                      <w:rFonts w:ascii="Times New Roman" w:hAnsi="Times New Roman"/>
                      <w:smallCaps/>
                    </w:rPr>
                    <w:t>Fax: 214</w:t>
                  </w:r>
                  <w:r w:rsidRPr="000C0722">
                    <w:rPr>
                      <w:rFonts w:ascii="Times New Roman" w:hAnsi="Times New Roman"/>
                      <w:smallCaps/>
                      <w:color w:val="CC0000"/>
                    </w:rPr>
                    <w:t>/</w:t>
                  </w:r>
                  <w:r w:rsidRPr="000C0722">
                    <w:rPr>
                      <w:rFonts w:ascii="Times New Roman" w:hAnsi="Times New Roman"/>
                      <w:smallCaps/>
                    </w:rPr>
                    <w:t>522-0311</w:t>
                  </w:r>
                </w:p>
                <w:p w:rsidR="00CD560D" w:rsidRPr="000C0722" w:rsidRDefault="00CD560D" w:rsidP="000E4CC0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mallCaps/>
                    </w:rPr>
                  </w:pPr>
                  <w:r>
                    <w:rPr>
                      <w:rFonts w:ascii="Times New Roman" w:hAnsi="Times New Roman"/>
                      <w:smallCaps/>
                    </w:rPr>
                    <w:t>w</w:t>
                  </w:r>
                  <w:r w:rsidRPr="000C0722">
                    <w:rPr>
                      <w:rFonts w:ascii="Times New Roman" w:hAnsi="Times New Roman"/>
                      <w:smallCaps/>
                    </w:rPr>
                    <w:t>ww.madeley.com</w:t>
                  </w:r>
                </w:p>
                <w:p w:rsidR="00CD560D" w:rsidRDefault="00CD560D" w:rsidP="000E4CC0">
                  <w:pPr>
                    <w:widowControl w:val="0"/>
                    <w:jc w:val="right"/>
                    <w:rPr>
                      <w:smallCaps/>
                    </w:rPr>
                  </w:pPr>
                  <w:r>
                    <w:rPr>
                      <w:smallCaps/>
                    </w:rPr>
                    <w:t> </w:t>
                  </w:r>
                </w:p>
              </w:txbxContent>
            </v:textbox>
          </v:shape>
        </w:pict>
      </w:r>
      <w:r w:rsidRPr="00C20E82">
        <w:rPr>
          <w:noProof/>
        </w:rPr>
        <w:pict>
          <v:shape id="_x0000_s1046" type="#_x0000_t202" style="position:absolute;margin-left:51.4pt;margin-top:465.95pt;width:236.65pt;height:68pt;z-index:25169305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6;mso-column-margin:5.76pt" inset="2.88pt,2.88pt,2.88pt,2.88pt">
              <w:txbxContent>
                <w:p w:rsidR="00CD560D" w:rsidRDefault="00CD560D" w:rsidP="000E4CC0">
                  <w:pPr>
                    <w:widowControl w:val="0"/>
                    <w:spacing w:after="0"/>
                    <w:rPr>
                      <w:rFonts w:ascii="Times" w:hAnsi="Times" w:cs="Times"/>
                      <w:b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b/>
                      <w:bCs/>
                      <w:smallCaps/>
                      <w:sz w:val="44"/>
                      <w:szCs w:val="44"/>
                    </w:rPr>
                    <w:t xml:space="preserve">Madeley </w:t>
                  </w:r>
                  <w:r>
                    <w:rPr>
                      <w:rFonts w:ascii="Times" w:hAnsi="Times" w:cs="Times"/>
                      <w:b/>
                      <w:bCs/>
                      <w:smallCaps/>
                      <w:color w:val="A50021"/>
                      <w:sz w:val="44"/>
                      <w:szCs w:val="44"/>
                    </w:rPr>
                    <w:t>&amp;</w:t>
                  </w:r>
                  <w:r>
                    <w:rPr>
                      <w:rFonts w:ascii="Times" w:hAnsi="Times" w:cs="Times"/>
                      <w:b/>
                      <w:bCs/>
                      <w:smallCaps/>
                      <w:sz w:val="44"/>
                      <w:szCs w:val="44"/>
                    </w:rPr>
                    <w:t xml:space="preserve"> Company </w:t>
                  </w:r>
                </w:p>
                <w:p w:rsidR="00CD560D" w:rsidRDefault="00CD560D" w:rsidP="000E4CC0">
                  <w:pPr>
                    <w:widowControl w:val="0"/>
                    <w:rPr>
                      <w:rFonts w:ascii="Times" w:hAnsi="Times" w:cs="Times"/>
                      <w:smallCaps/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smallCaps/>
                      <w:sz w:val="18"/>
                      <w:szCs w:val="18"/>
                    </w:rPr>
                    <w:tab/>
                  </w:r>
                  <w:r>
                    <w:rPr>
                      <w:rFonts w:ascii="Times" w:hAnsi="Times" w:cs="Times"/>
                      <w:i/>
                      <w:iCs/>
                      <w:smallCaps/>
                      <w:sz w:val="18"/>
                      <w:szCs w:val="18"/>
                    </w:rPr>
                    <w:t xml:space="preserve">                          </w:t>
                  </w:r>
                  <w:r>
                    <w:rPr>
                      <w:rFonts w:ascii="Times" w:hAnsi="Times" w:cs="Times"/>
                      <w:b/>
                      <w:bCs/>
                      <w:i/>
                      <w:iCs/>
                      <w:smallCaps/>
                      <w:sz w:val="18"/>
                      <w:szCs w:val="18"/>
                    </w:rPr>
                    <w:t xml:space="preserve">Risk and Insurance Management </w:t>
                  </w:r>
                </w:p>
              </w:txbxContent>
            </v:textbox>
          </v:shape>
        </w:pict>
      </w:r>
      <w:r w:rsidRPr="00C20E82">
        <w:rPr>
          <w:noProof/>
        </w:rPr>
        <w:pict>
          <v:shape id="_x0000_s1037" type="#_x0000_t202" style="position:absolute;margin-left:-5.05pt;margin-top:212.05pt;width:515.95pt;height:2in;z-index:251661311" stroked="f">
            <v:textbox style="mso-next-textbox:#_x0000_s1037">
              <w:txbxContent>
                <w:p w:rsidR="00CD560D" w:rsidRPr="000E4CC0" w:rsidRDefault="00CD560D" w:rsidP="000E4CC0">
                  <w:pPr>
                    <w:spacing w:after="0" w:line="240" w:lineRule="auto"/>
                    <w:jc w:val="center"/>
                    <w:rPr>
                      <w:color w:val="D9D9D9" w:themeColor="background1" w:themeShade="D9"/>
                      <w:sz w:val="280"/>
                    </w:rPr>
                  </w:pPr>
                  <w:r w:rsidRPr="000E4CC0">
                    <w:rPr>
                      <w:color w:val="D9D9D9" w:themeColor="background1" w:themeShade="D9"/>
                      <w:sz w:val="280"/>
                    </w:rPr>
                    <w:t>SAMPLE</w:t>
                  </w:r>
                </w:p>
              </w:txbxContent>
            </v:textbox>
          </v:shape>
        </w:pict>
      </w:r>
      <w:r w:rsidRPr="00C20E82">
        <w:rPr>
          <w:noProof/>
        </w:rPr>
        <w:pict>
          <v:rect id="_x0000_s1029" style="position:absolute;margin-left:-1.3pt;margin-top:228.55pt;width:280.8pt;height:44.75pt;z-index:251663360;mso-width-percent:600;mso-position-horizontal-relative:margin;mso-position-vertical-relative:margin;mso-width-percent:600;mso-width-relative:margin;mso-height-relative:margin" o:regroupid="1" o:allowincell="f" filled="f" stroked="f">
            <v:textbox style="mso-next-textbox:#_x0000_s1029">
              <w:txbxContent>
                <w:p w:rsidR="00CD560D" w:rsidRPr="00645899" w:rsidRDefault="00CD560D" w:rsidP="00992E68">
                  <w:pPr>
                    <w:rPr>
                      <w:rFonts w:ascii="Cambria" w:eastAsia="Times New Roman" w:hAnsi="Cambria"/>
                      <w:color w:val="808080"/>
                      <w:sz w:val="40"/>
                      <w:szCs w:val="40"/>
                    </w:rPr>
                  </w:pPr>
                  <w:r w:rsidRPr="00645899">
                    <w:rPr>
                      <w:rFonts w:ascii="Cambria" w:eastAsia="Times New Roman" w:hAnsi="Cambria"/>
                      <w:color w:val="808080"/>
                      <w:sz w:val="40"/>
                      <w:szCs w:val="40"/>
                    </w:rPr>
                    <w:t>Prepared For:</w:t>
                  </w:r>
                </w:p>
                <w:p w:rsidR="00CD560D" w:rsidRPr="00645899" w:rsidRDefault="00CD560D" w:rsidP="00992E68">
                  <w:pPr>
                    <w:spacing w:after="0"/>
                    <w:rPr>
                      <w:color w:val="808080"/>
                      <w:sz w:val="28"/>
                    </w:rPr>
                  </w:pPr>
                </w:p>
              </w:txbxContent>
            </v:textbox>
            <w10:wrap anchorx="margin" anchory="margin"/>
          </v:rect>
        </w:pict>
      </w:r>
      <w:r w:rsidRPr="00C20E82">
        <w:rPr>
          <w:noProof/>
        </w:rPr>
        <w:pict>
          <v:group id="_x0000_s1032" style="position:absolute;margin-left:399.65pt;margin-top:154.6pt;width:46.7pt;height:60.85pt;rotation:90;z-index:251689984;mso-position-horizontal-relative:margin;mso-position-vertical-relative:margin" coordorigin="10217,9410" coordsize="1566,590" o:regroupid="2"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33" type="#_x0000_t55" style="position:absolute;left:11101;top:9410;width:682;height:590" adj="7304" fillcolor="#b8cce4" stroked="f" strokecolor="white">
              <v:fill color2="#365f91" angle="-135" focus="100%" type="gradient"/>
            </v:shape>
            <v:shape id="_x0000_s1034" type="#_x0000_t55" style="position:absolute;left:10659;top:9410;width:682;height:590" adj="7304" fillcolor="#b8cce4" stroked="f" strokecolor="white">
              <v:fill color2="#365f91" angle="-135" focus="100%" type="gradient"/>
            </v:shape>
            <v:shape id="_x0000_s1035" type="#_x0000_t55" style="position:absolute;left:10217;top:9410;width:682;height:590" adj="7304" fillcolor="#b8cce4" stroked="f" strokecolor="white">
              <v:fill color2="#365f91" angle="-135" focus="100%" type="gradient"/>
            </v:shape>
            <w10:wrap anchorx="margin" anchory="margin"/>
          </v:group>
        </w:pict>
      </w:r>
      <w:r w:rsidR="001555B5">
        <w:br w:type="page"/>
      </w:r>
    </w:p>
    <w:tbl>
      <w:tblPr>
        <w:tblpPr w:leftFromText="180" w:rightFromText="180" w:vertAnchor="page" w:tblpXSpec="center" w:tblpY="781"/>
        <w:tblW w:w="1081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/>
      </w:tblPr>
      <w:tblGrid>
        <w:gridCol w:w="6408"/>
        <w:gridCol w:w="4410"/>
      </w:tblGrid>
      <w:tr w:rsidR="000D6979" w:rsidRPr="00645899" w:rsidTr="00B74CFB">
        <w:trPr>
          <w:trHeight w:val="430"/>
          <w:tblHeader/>
        </w:trPr>
        <w:tc>
          <w:tcPr>
            <w:tcW w:w="640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shd w:val="clear" w:color="auto" w:fill="4F81BD" w:themeFill="accent1"/>
          </w:tcPr>
          <w:p w:rsidR="009D6A58" w:rsidRPr="00645899" w:rsidRDefault="00DF4BED" w:rsidP="0064589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32"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32"/>
              </w:rPr>
              <w:lastRenderedPageBreak/>
              <w:t>Areas of Review</w:t>
            </w:r>
          </w:p>
        </w:tc>
        <w:tc>
          <w:tcPr>
            <w:tcW w:w="4410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4F81BD" w:themeFill="accent1"/>
          </w:tcPr>
          <w:p w:rsidR="009D6A58" w:rsidRPr="00645899" w:rsidRDefault="009D6A58" w:rsidP="0064589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32"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32"/>
              </w:rPr>
              <w:t>Recommendations</w:t>
            </w:r>
          </w:p>
        </w:tc>
      </w:tr>
      <w:tr w:rsidR="000D6979" w:rsidRPr="00645899" w:rsidTr="004477CE">
        <w:trPr>
          <w:trHeight w:val="3039"/>
        </w:trPr>
        <w:tc>
          <w:tcPr>
            <w:tcW w:w="6408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 w:rsidR="00185D0F" w:rsidRPr="00645899" w:rsidRDefault="00185D0F" w:rsidP="004477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70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Professional / Executive Liability</w:t>
            </w:r>
          </w:p>
          <w:p w:rsidR="00185D0F" w:rsidRPr="00645899" w:rsidRDefault="00185D0F" w:rsidP="004477CE">
            <w:pPr>
              <w:pStyle w:val="ListParagraph"/>
              <w:numPr>
                <w:ilvl w:val="7"/>
                <w:numId w:val="1"/>
              </w:numPr>
              <w:spacing w:after="0" w:line="240" w:lineRule="auto"/>
              <w:ind w:left="630" w:hanging="27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>Medical and Facility Professional Liability</w:t>
            </w:r>
          </w:p>
          <w:p w:rsidR="004477CE" w:rsidRDefault="004477CE" w:rsidP="004477CE">
            <w:pPr>
              <w:pStyle w:val="ListParagraph"/>
              <w:numPr>
                <w:ilvl w:val="8"/>
                <w:numId w:val="1"/>
              </w:numPr>
              <w:spacing w:after="0" w:line="240" w:lineRule="auto"/>
              <w:ind w:left="990"/>
              <w:rPr>
                <w:rFonts w:asciiTheme="minorHAnsi" w:eastAsiaTheme="minorHAnsi" w:hAnsiTheme="minorHAnsi" w:cstheme="minorBidi"/>
                <w:b/>
                <w:bCs/>
                <w:i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i/>
              </w:rPr>
              <w:t>Captives and Large Deductible Plans</w:t>
            </w:r>
          </w:p>
          <w:p w:rsidR="004477CE" w:rsidRDefault="00DB135E" w:rsidP="004477CE">
            <w:pPr>
              <w:pStyle w:val="ListParagraph"/>
              <w:numPr>
                <w:ilvl w:val="8"/>
                <w:numId w:val="1"/>
              </w:numPr>
              <w:spacing w:after="0" w:line="240" w:lineRule="auto"/>
              <w:ind w:left="990"/>
              <w:rPr>
                <w:rFonts w:asciiTheme="minorHAnsi" w:eastAsiaTheme="minorHAnsi" w:hAnsiTheme="minorHAnsi" w:cstheme="minorBidi"/>
                <w:b/>
                <w:bCs/>
                <w:i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  <w:i/>
              </w:rPr>
              <w:t>Medical Directorship</w:t>
            </w:r>
            <w:r w:rsidR="0067320D">
              <w:rPr>
                <w:rFonts w:asciiTheme="minorHAnsi" w:eastAsiaTheme="minorHAnsi" w:hAnsiTheme="minorHAnsi" w:cstheme="minorBidi"/>
                <w:b/>
                <w:bCs/>
                <w:i/>
              </w:rPr>
              <w:t xml:space="preserve"> </w:t>
            </w:r>
            <w:r w:rsidR="004477CE">
              <w:rPr>
                <w:rFonts w:asciiTheme="minorHAnsi" w:eastAsiaTheme="minorHAnsi" w:hAnsiTheme="minorHAnsi" w:cstheme="minorBidi"/>
                <w:b/>
                <w:bCs/>
                <w:i/>
              </w:rPr>
              <w:t>Coverage</w:t>
            </w:r>
          </w:p>
          <w:p w:rsidR="009E5D31" w:rsidRPr="004477CE" w:rsidRDefault="009E5D31" w:rsidP="004477CE">
            <w:pPr>
              <w:pStyle w:val="ListParagraph"/>
              <w:numPr>
                <w:ilvl w:val="8"/>
                <w:numId w:val="1"/>
              </w:numPr>
              <w:spacing w:after="0" w:line="240" w:lineRule="auto"/>
              <w:ind w:left="990"/>
              <w:rPr>
                <w:rFonts w:asciiTheme="minorHAnsi" w:eastAsiaTheme="minorHAnsi" w:hAnsiTheme="minorHAnsi" w:cstheme="minorBidi"/>
                <w:b/>
                <w:bCs/>
                <w:i/>
              </w:rPr>
            </w:pPr>
            <w:r w:rsidRPr="004477CE">
              <w:rPr>
                <w:rFonts w:asciiTheme="minorHAnsi" w:eastAsiaTheme="minorHAnsi" w:hAnsiTheme="minorHAnsi" w:cstheme="minorBidi"/>
                <w:b/>
                <w:bCs/>
                <w:i/>
              </w:rPr>
              <w:t>Allied Health Professionals</w:t>
            </w:r>
          </w:p>
          <w:p w:rsidR="00185D0F" w:rsidRPr="00645899" w:rsidRDefault="00185D0F" w:rsidP="004477CE">
            <w:pPr>
              <w:pStyle w:val="ListParagraph"/>
              <w:numPr>
                <w:ilvl w:val="7"/>
                <w:numId w:val="1"/>
              </w:numPr>
              <w:spacing w:after="0" w:line="240" w:lineRule="auto"/>
              <w:ind w:left="630" w:hanging="27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>Directors &amp; Officers Liability</w:t>
            </w:r>
          </w:p>
          <w:p w:rsidR="00185D0F" w:rsidRPr="00645899" w:rsidRDefault="00185D0F" w:rsidP="004477CE">
            <w:pPr>
              <w:pStyle w:val="ListParagraph"/>
              <w:numPr>
                <w:ilvl w:val="7"/>
                <w:numId w:val="1"/>
              </w:numPr>
              <w:spacing w:after="0" w:line="240" w:lineRule="auto"/>
              <w:ind w:left="630" w:hanging="27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>Employment Practices Liability</w:t>
            </w:r>
          </w:p>
          <w:p w:rsidR="00185D0F" w:rsidRDefault="00185D0F" w:rsidP="004477CE">
            <w:pPr>
              <w:pStyle w:val="ListParagraph"/>
              <w:numPr>
                <w:ilvl w:val="7"/>
                <w:numId w:val="1"/>
              </w:numPr>
              <w:spacing w:after="0" w:line="240" w:lineRule="auto"/>
              <w:ind w:left="630" w:hanging="27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>Fiduciary Liability</w:t>
            </w:r>
          </w:p>
          <w:p w:rsidR="00185D0F" w:rsidRPr="00645899" w:rsidRDefault="00185D0F" w:rsidP="004477CE">
            <w:pPr>
              <w:pStyle w:val="ListParagraph"/>
              <w:numPr>
                <w:ilvl w:val="7"/>
                <w:numId w:val="1"/>
              </w:numPr>
              <w:spacing w:after="0" w:line="360" w:lineRule="auto"/>
              <w:ind w:left="630" w:hanging="27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>Cyberguard</w:t>
            </w:r>
          </w:p>
          <w:tbl>
            <w:tblPr>
              <w:tblW w:w="3706" w:type="dxa"/>
              <w:tblInd w:w="4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706"/>
            </w:tblGrid>
            <w:tr w:rsidR="00185D0F" w:rsidRPr="00645899" w:rsidTr="00C45C6E">
              <w:tc>
                <w:tcPr>
                  <w:tcW w:w="3706" w:type="dxa"/>
                  <w:vAlign w:val="center"/>
                </w:tcPr>
                <w:p w:rsidR="00185D0F" w:rsidRPr="00C45C6E" w:rsidRDefault="00185D0F" w:rsidP="00C45C6E">
                  <w:pPr>
                    <w:pStyle w:val="ListParagraph"/>
                    <w:framePr w:hSpace="180" w:wrap="around" w:vAnchor="page" w:hAnchor="text" w:xAlign="center" w:y="781"/>
                    <w:numPr>
                      <w:ilvl w:val="0"/>
                      <w:numId w:val="20"/>
                    </w:numPr>
                    <w:spacing w:after="0" w:line="240" w:lineRule="auto"/>
                    <w:ind w:left="268" w:hanging="270"/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</w:rPr>
                  </w:pPr>
                  <w:r w:rsidRPr="00C45C6E"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</w:rPr>
                    <w:t xml:space="preserve">Patient Notification &amp; Credit Monitoring  </w:t>
                  </w:r>
                </w:p>
              </w:tc>
            </w:tr>
            <w:tr w:rsidR="00185D0F" w:rsidRPr="00645899" w:rsidTr="00C45C6E">
              <w:tc>
                <w:tcPr>
                  <w:tcW w:w="3706" w:type="dxa"/>
                  <w:vAlign w:val="center"/>
                </w:tcPr>
                <w:p w:rsidR="00185D0F" w:rsidRPr="00C45C6E" w:rsidRDefault="00185D0F" w:rsidP="00C45C6E">
                  <w:pPr>
                    <w:pStyle w:val="ListParagraph"/>
                    <w:framePr w:hSpace="180" w:wrap="around" w:vAnchor="page" w:hAnchor="text" w:xAlign="center" w:y="781"/>
                    <w:numPr>
                      <w:ilvl w:val="0"/>
                      <w:numId w:val="20"/>
                    </w:numPr>
                    <w:spacing w:after="0" w:line="240" w:lineRule="auto"/>
                    <w:ind w:left="268" w:hanging="270"/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</w:rPr>
                  </w:pPr>
                  <w:r w:rsidRPr="00C45C6E"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</w:rPr>
                    <w:t xml:space="preserve">Data Recovery </w:t>
                  </w:r>
                </w:p>
              </w:tc>
            </w:tr>
            <w:tr w:rsidR="00185D0F" w:rsidRPr="00645899" w:rsidTr="00C45C6E">
              <w:trPr>
                <w:trHeight w:val="187"/>
              </w:trPr>
              <w:tc>
                <w:tcPr>
                  <w:tcW w:w="3706" w:type="dxa"/>
                  <w:vAlign w:val="center"/>
                </w:tcPr>
                <w:p w:rsidR="00185D0F" w:rsidRPr="00C45C6E" w:rsidRDefault="00185D0F" w:rsidP="00C45C6E">
                  <w:pPr>
                    <w:pStyle w:val="ListParagraph"/>
                    <w:framePr w:hSpace="180" w:wrap="around" w:vAnchor="page" w:hAnchor="text" w:xAlign="center" w:y="781"/>
                    <w:numPr>
                      <w:ilvl w:val="0"/>
                      <w:numId w:val="20"/>
                    </w:numPr>
                    <w:spacing w:after="0" w:line="240" w:lineRule="auto"/>
                    <w:ind w:left="268" w:hanging="270"/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</w:rPr>
                  </w:pPr>
                  <w:r w:rsidRPr="00C45C6E"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</w:rPr>
                    <w:t>Regulatory Coverage</w:t>
                  </w:r>
                </w:p>
              </w:tc>
            </w:tr>
            <w:tr w:rsidR="00185D0F" w:rsidRPr="00645899" w:rsidTr="00C45C6E">
              <w:trPr>
                <w:trHeight w:val="232"/>
              </w:trPr>
              <w:tc>
                <w:tcPr>
                  <w:tcW w:w="3706" w:type="dxa"/>
                  <w:vAlign w:val="center"/>
                </w:tcPr>
                <w:p w:rsidR="00185D0F" w:rsidRPr="00C45C6E" w:rsidRDefault="00185D0F" w:rsidP="00C45C6E">
                  <w:pPr>
                    <w:pStyle w:val="ListParagraph"/>
                    <w:framePr w:hSpace="180" w:wrap="around" w:vAnchor="page" w:hAnchor="text" w:xAlign="center" w:y="781"/>
                    <w:numPr>
                      <w:ilvl w:val="0"/>
                      <w:numId w:val="20"/>
                    </w:numPr>
                    <w:spacing w:after="0" w:line="240" w:lineRule="auto"/>
                    <w:ind w:left="268" w:hanging="270"/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</w:rPr>
                  </w:pPr>
                  <w:r w:rsidRPr="00C45C6E"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</w:rPr>
                    <w:t>Network Security &amp; Privacy Insurance</w:t>
                  </w:r>
                </w:p>
              </w:tc>
            </w:tr>
            <w:tr w:rsidR="00C45C6E" w:rsidRPr="00645899" w:rsidTr="00C45C6E">
              <w:tc>
                <w:tcPr>
                  <w:tcW w:w="3706" w:type="dxa"/>
                  <w:vAlign w:val="center"/>
                </w:tcPr>
                <w:p w:rsidR="00C45C6E" w:rsidRPr="00C45C6E" w:rsidRDefault="00C45C6E" w:rsidP="00C45C6E">
                  <w:pPr>
                    <w:pStyle w:val="ListParagraph"/>
                    <w:framePr w:hSpace="180" w:wrap="around" w:vAnchor="page" w:hAnchor="text" w:xAlign="center" w:y="781"/>
                    <w:numPr>
                      <w:ilvl w:val="0"/>
                      <w:numId w:val="20"/>
                    </w:numPr>
                    <w:spacing w:after="0" w:line="240" w:lineRule="auto"/>
                    <w:ind w:left="268" w:hanging="270"/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</w:rPr>
                  </w:pPr>
                  <w:r w:rsidRPr="00C45C6E"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</w:rPr>
                    <w:t>Recovery Audit Contractors (</w:t>
                  </w:r>
                  <w:proofErr w:type="spellStart"/>
                  <w:r w:rsidRPr="00C45C6E"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</w:rPr>
                    <w:t>RAC</w:t>
                  </w:r>
                  <w:proofErr w:type="spellEnd"/>
                  <w:r w:rsidRPr="00C45C6E"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185D0F" w:rsidRPr="00645899" w:rsidRDefault="004477CE" w:rsidP="004477CE">
            <w:pPr>
              <w:spacing w:after="0" w:line="240" w:lineRule="auto"/>
              <w:ind w:left="18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4410" w:type="dxa"/>
            <w:tcBorders>
              <w:left w:val="nil"/>
            </w:tcBorders>
            <w:shd w:val="clear" w:color="auto" w:fill="D3DFEE" w:themeFill="accent1" w:themeFillTint="3F"/>
          </w:tcPr>
          <w:p w:rsidR="00185D0F" w:rsidRPr="00645899" w:rsidRDefault="00185D0F" w:rsidP="00645899">
            <w:pPr>
              <w:pStyle w:val="ListParagraph"/>
              <w:spacing w:after="0" w:line="240" w:lineRule="auto"/>
              <w:ind w:left="252"/>
              <w:rPr>
                <w:rFonts w:asciiTheme="minorHAnsi" w:eastAsiaTheme="minorHAnsi" w:hAnsiTheme="minorHAnsi" w:cstheme="minorBidi"/>
              </w:rPr>
            </w:pPr>
          </w:p>
          <w:p w:rsidR="00185D0F" w:rsidRPr="0067320D" w:rsidRDefault="0067320D" w:rsidP="0067320D">
            <w:pPr>
              <w:pStyle w:val="ListParagraph"/>
              <w:spacing w:before="120" w:after="120" w:line="240" w:lineRule="auto"/>
              <w:ind w:left="259"/>
              <w:contextualSpacing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="Courier New"/>
                <w:sz w:val="20"/>
                <w:szCs w:val="20"/>
              </w:rPr>
              <w:t>a</w:t>
            </w:r>
            <w:r w:rsidRPr="0067320D">
              <w:rPr>
                <w:rFonts w:asciiTheme="minorHAnsi" w:eastAsiaTheme="minorHAnsi" w:hAnsiTheme="minorHAnsi" w:cs="Courier New"/>
                <w:sz w:val="20"/>
                <w:szCs w:val="20"/>
              </w:rPr>
              <w:t xml:space="preserve">1. </w:t>
            </w:r>
            <w:r w:rsidR="00185D0F" w:rsidRPr="0067320D">
              <w:rPr>
                <w:rFonts w:asciiTheme="minorHAnsi" w:eastAsiaTheme="minorHAnsi" w:hAnsiTheme="minorHAnsi" w:cs="Courier New"/>
                <w:sz w:val="20"/>
                <w:szCs w:val="20"/>
              </w:rPr>
              <w:t>Clinical Risk Management performed by your medical professional liability carrier</w:t>
            </w:r>
          </w:p>
          <w:p w:rsidR="0067320D" w:rsidRPr="0067320D" w:rsidRDefault="0067320D" w:rsidP="0067320D">
            <w:pPr>
              <w:pStyle w:val="ListParagraph"/>
              <w:spacing w:before="120" w:after="120" w:line="240" w:lineRule="auto"/>
              <w:ind w:left="259"/>
              <w:contextualSpacing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a</w:t>
            </w:r>
            <w:r w:rsidRPr="0067320D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2. Membership in Texas Ambulatory Surgery Center Society (TASCS) </w:t>
            </w:r>
          </w:p>
          <w:p w:rsidR="0067320D" w:rsidRPr="0067320D" w:rsidRDefault="0067320D" w:rsidP="0067320D">
            <w:pPr>
              <w:pStyle w:val="ListParagraph"/>
              <w:spacing w:after="240" w:line="240" w:lineRule="auto"/>
              <w:ind w:left="259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a</w:t>
            </w:r>
            <w:r w:rsidRPr="0067320D">
              <w:rPr>
                <w:rFonts w:asciiTheme="minorHAnsi" w:eastAsiaTheme="minorHAnsi" w:hAnsiTheme="minorHAnsi" w:cstheme="minorBidi"/>
                <w:sz w:val="20"/>
                <w:szCs w:val="20"/>
              </w:rPr>
              <w:t>3. Infection Prevention Training</w:t>
            </w:r>
          </w:p>
          <w:p w:rsidR="00185D0F" w:rsidRPr="00645899" w:rsidRDefault="00185D0F" w:rsidP="00645899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  <w:p w:rsidR="00185D0F" w:rsidRPr="00645899" w:rsidRDefault="00185D0F" w:rsidP="006458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  <w:p w:rsidR="00185D0F" w:rsidRPr="00645899" w:rsidRDefault="00185D0F" w:rsidP="00645899">
            <w:pPr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Theme="minorHAnsi" w:eastAsiaTheme="minorHAnsi" w:hAnsiTheme="minorHAnsi" w:cstheme="minorBidi"/>
              </w:rPr>
            </w:pPr>
          </w:p>
        </w:tc>
      </w:tr>
      <w:tr w:rsidR="00185D0F" w:rsidRPr="00645899" w:rsidTr="00A3554E">
        <w:trPr>
          <w:trHeight w:val="2883"/>
        </w:trPr>
        <w:tc>
          <w:tcPr>
            <w:tcW w:w="6408" w:type="dxa"/>
            <w:tcBorders>
              <w:right w:val="nil"/>
            </w:tcBorders>
          </w:tcPr>
          <w:p w:rsidR="00185D0F" w:rsidRPr="00645899" w:rsidRDefault="00185D0F" w:rsidP="00C45C6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8" w:hanging="270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Employee Benefits</w:t>
            </w:r>
          </w:p>
          <w:p w:rsidR="00185D0F" w:rsidRPr="00645899" w:rsidRDefault="00185D0F" w:rsidP="00C45C6E">
            <w:pPr>
              <w:pStyle w:val="ListParagraph"/>
              <w:numPr>
                <w:ilvl w:val="7"/>
                <w:numId w:val="13"/>
              </w:numPr>
              <w:spacing w:after="0"/>
              <w:ind w:left="630" w:hanging="27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>Group Health Insurance, Vision, Dental</w:t>
            </w:r>
          </w:p>
          <w:p w:rsidR="00185D0F" w:rsidRPr="00645899" w:rsidRDefault="00185D0F" w:rsidP="00C45C6E">
            <w:pPr>
              <w:pStyle w:val="ListParagraph"/>
              <w:numPr>
                <w:ilvl w:val="7"/>
                <w:numId w:val="13"/>
              </w:numPr>
              <w:spacing w:after="0"/>
              <w:ind w:left="630" w:hanging="27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 xml:space="preserve">Health Savings Accounts (HSA), Health Reimbursement Accounts (HRA), Flexible Spending Accounts (FSA) and Section 125 Plans.  </w:t>
            </w:r>
          </w:p>
          <w:p w:rsidR="00185D0F" w:rsidRPr="00645899" w:rsidRDefault="00185D0F" w:rsidP="00C45C6E">
            <w:pPr>
              <w:pStyle w:val="ListParagraph"/>
              <w:numPr>
                <w:ilvl w:val="7"/>
                <w:numId w:val="13"/>
              </w:numPr>
              <w:spacing w:after="0"/>
              <w:ind w:left="630" w:hanging="27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 xml:space="preserve">Human Resource Consulting </w:t>
            </w:r>
          </w:p>
          <w:p w:rsidR="00185D0F" w:rsidRPr="00645899" w:rsidRDefault="00185D0F" w:rsidP="00C45C6E">
            <w:pPr>
              <w:pStyle w:val="ListParagraph"/>
              <w:numPr>
                <w:ilvl w:val="7"/>
                <w:numId w:val="13"/>
              </w:numPr>
              <w:spacing w:after="0"/>
              <w:ind w:left="630" w:hanging="27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>Professional Employer Organizations (</w:t>
            </w:r>
            <w:proofErr w:type="spellStart"/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>PEOs</w:t>
            </w:r>
            <w:proofErr w:type="spellEnd"/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>)</w:t>
            </w:r>
          </w:p>
          <w:p w:rsidR="005B479A" w:rsidRDefault="005800F6" w:rsidP="00C45C6E">
            <w:pPr>
              <w:pStyle w:val="ListParagraph"/>
              <w:numPr>
                <w:ilvl w:val="8"/>
                <w:numId w:val="13"/>
              </w:numPr>
              <w:spacing w:after="0"/>
              <w:ind w:left="810" w:right="2052"/>
              <w:rPr>
                <w:rFonts w:asciiTheme="minorHAnsi" w:eastAsiaTheme="minorHAnsi" w:hAnsiTheme="minorHAnsi" w:cstheme="minorBidi"/>
                <w:b/>
                <w:bCs/>
                <w:i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  <w:i/>
              </w:rPr>
              <w:t xml:space="preserve">Payroll, Unemployment Taxes, Benefit Administration, Etc. </w:t>
            </w:r>
            <w:r w:rsidR="004477CE">
              <w:rPr>
                <w:rFonts w:asciiTheme="minorHAnsi" w:eastAsiaTheme="minorHAnsi" w:hAnsiTheme="minorHAnsi" w:cstheme="minorBidi"/>
                <w:b/>
                <w:bCs/>
                <w:i/>
              </w:rPr>
              <w:t xml:space="preserve"> </w:t>
            </w:r>
          </w:p>
          <w:p w:rsidR="004477CE" w:rsidRPr="00645899" w:rsidRDefault="004477CE" w:rsidP="004477CE">
            <w:pPr>
              <w:pStyle w:val="ListParagraph"/>
              <w:spacing w:after="0"/>
              <w:ind w:left="810" w:right="2052"/>
              <w:rPr>
                <w:rFonts w:asciiTheme="minorHAnsi" w:eastAsiaTheme="minorHAnsi" w:hAnsiTheme="minorHAnsi" w:cstheme="minorBidi"/>
                <w:b/>
                <w:bCs/>
                <w:i/>
              </w:rPr>
            </w:pPr>
          </w:p>
        </w:tc>
        <w:tc>
          <w:tcPr>
            <w:tcW w:w="4410" w:type="dxa"/>
            <w:tcBorders>
              <w:left w:val="nil"/>
            </w:tcBorders>
          </w:tcPr>
          <w:p w:rsidR="00185D0F" w:rsidRPr="00645899" w:rsidRDefault="00185D0F" w:rsidP="004477CE">
            <w:pPr>
              <w:spacing w:after="0"/>
              <w:ind w:left="360"/>
              <w:rPr>
                <w:rFonts w:asciiTheme="minorHAnsi" w:eastAsiaTheme="minorHAnsi" w:hAnsiTheme="minorHAnsi" w:cstheme="minorBidi"/>
              </w:rPr>
            </w:pPr>
          </w:p>
          <w:p w:rsidR="00185D0F" w:rsidRPr="00645899" w:rsidRDefault="00185D0F" w:rsidP="00645899">
            <w:pPr>
              <w:spacing w:after="0" w:line="240" w:lineRule="auto"/>
              <w:ind w:left="360"/>
              <w:rPr>
                <w:rFonts w:asciiTheme="minorHAnsi" w:eastAsiaTheme="minorHAnsi" w:hAnsiTheme="minorHAnsi" w:cstheme="minorBidi"/>
              </w:rPr>
            </w:pPr>
          </w:p>
          <w:p w:rsidR="00185D0F" w:rsidRPr="00645899" w:rsidRDefault="00185D0F" w:rsidP="00645899">
            <w:pPr>
              <w:spacing w:after="0" w:line="240" w:lineRule="auto"/>
              <w:ind w:left="360"/>
              <w:rPr>
                <w:rFonts w:asciiTheme="minorHAnsi" w:eastAsiaTheme="minorHAnsi" w:hAnsiTheme="minorHAnsi" w:cstheme="minorBidi"/>
              </w:rPr>
            </w:pPr>
          </w:p>
          <w:p w:rsidR="00185D0F" w:rsidRPr="00645899" w:rsidRDefault="00185D0F" w:rsidP="00645899">
            <w:pPr>
              <w:spacing w:after="0" w:line="240" w:lineRule="auto"/>
              <w:ind w:left="360"/>
              <w:rPr>
                <w:rFonts w:asciiTheme="minorHAnsi" w:eastAsiaTheme="minorHAnsi" w:hAnsiTheme="minorHAnsi" w:cstheme="minorBidi"/>
              </w:rPr>
            </w:pPr>
          </w:p>
          <w:p w:rsidR="00185D0F" w:rsidRPr="00645899" w:rsidRDefault="00185D0F" w:rsidP="004477CE">
            <w:pPr>
              <w:spacing w:after="0"/>
              <w:ind w:left="360"/>
              <w:rPr>
                <w:rFonts w:asciiTheme="minorHAnsi" w:eastAsiaTheme="minorHAnsi" w:hAnsiTheme="minorHAnsi" w:cstheme="minorBidi"/>
              </w:rPr>
            </w:pPr>
          </w:p>
          <w:p w:rsidR="00185D0F" w:rsidRPr="00645899" w:rsidRDefault="00185D0F" w:rsidP="004477C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645899">
              <w:rPr>
                <w:rFonts w:asciiTheme="minorHAnsi" w:eastAsiaTheme="minorHAnsi" w:hAnsiTheme="minorHAnsi" w:cstheme="minorBidi"/>
              </w:rPr>
              <w:t xml:space="preserve">c.  Legal Counsel </w:t>
            </w:r>
          </w:p>
          <w:p w:rsidR="00185D0F" w:rsidRPr="00645899" w:rsidRDefault="00185D0F" w:rsidP="00645899">
            <w:pPr>
              <w:spacing w:after="0" w:line="240" w:lineRule="auto"/>
              <w:ind w:left="252"/>
              <w:rPr>
                <w:rFonts w:asciiTheme="minorHAnsi" w:eastAsiaTheme="minorHAnsi" w:hAnsiTheme="minorHAnsi" w:cstheme="minorBidi"/>
                <w:i/>
              </w:rPr>
            </w:pPr>
            <w:r w:rsidRPr="00645899">
              <w:rPr>
                <w:rFonts w:asciiTheme="minorHAnsi" w:eastAsiaTheme="minorHAnsi" w:hAnsiTheme="minorHAnsi" w:cstheme="minorBidi"/>
                <w:i/>
              </w:rPr>
              <w:t>or</w:t>
            </w:r>
          </w:p>
          <w:p w:rsidR="00185D0F" w:rsidRPr="00645899" w:rsidRDefault="00185D0F" w:rsidP="00645899">
            <w:pPr>
              <w:spacing w:after="0" w:line="240" w:lineRule="auto"/>
              <w:ind w:left="252"/>
              <w:rPr>
                <w:rFonts w:asciiTheme="minorHAnsi" w:eastAsiaTheme="minorHAnsi" w:hAnsiTheme="minorHAnsi" w:cstheme="minorBidi"/>
              </w:rPr>
            </w:pPr>
            <w:r w:rsidRPr="00645899">
              <w:rPr>
                <w:rFonts w:asciiTheme="minorHAnsi" w:eastAsiaTheme="minorHAnsi" w:hAnsiTheme="minorHAnsi" w:cstheme="minorBidi"/>
              </w:rPr>
              <w:t xml:space="preserve"> Human Resource  Consulting:</w:t>
            </w:r>
          </w:p>
          <w:p w:rsidR="00185D0F" w:rsidRPr="00645899" w:rsidRDefault="00185D0F" w:rsidP="00645899">
            <w:pPr>
              <w:spacing w:after="0" w:line="240" w:lineRule="auto"/>
              <w:ind w:left="252"/>
              <w:rPr>
                <w:rFonts w:asciiTheme="minorHAnsi" w:eastAsiaTheme="minorHAnsi" w:hAnsiTheme="minorHAnsi" w:cstheme="minorBidi"/>
              </w:rPr>
            </w:pPr>
            <w:r w:rsidRPr="00645899">
              <w:rPr>
                <w:rFonts w:asciiTheme="minorHAnsi" w:eastAsiaTheme="minorHAnsi" w:hAnsiTheme="minorHAnsi" w:cstheme="minorBidi"/>
              </w:rPr>
              <w:t xml:space="preserve">Provided by Advanced HR Solution </w:t>
            </w:r>
            <w:hyperlink r:id="rId10" w:history="1">
              <w:r w:rsidRPr="00645899">
                <w:rPr>
                  <w:rStyle w:val="Hyperlink"/>
                  <w:rFonts w:asciiTheme="minorHAnsi" w:eastAsiaTheme="minorHAnsi" w:hAnsiTheme="minorHAnsi" w:cstheme="minorBidi"/>
                  <w:i/>
                  <w:color w:val="0000FF" w:themeColor="hyperlink"/>
                </w:rPr>
                <w:t>www.advancedhrsolution.com</w:t>
              </w:r>
            </w:hyperlink>
            <w:r w:rsidRPr="00645899">
              <w:rPr>
                <w:rFonts w:asciiTheme="minorHAnsi" w:eastAsiaTheme="minorHAnsi" w:hAnsiTheme="minorHAnsi" w:cstheme="minorBidi"/>
              </w:rPr>
              <w:t xml:space="preserve">  </w:t>
            </w:r>
          </w:p>
        </w:tc>
      </w:tr>
      <w:tr w:rsidR="000D6979" w:rsidRPr="00645899" w:rsidTr="004477CE">
        <w:trPr>
          <w:trHeight w:val="4146"/>
        </w:trPr>
        <w:tc>
          <w:tcPr>
            <w:tcW w:w="6408" w:type="dxa"/>
            <w:tcBorders>
              <w:right w:val="nil"/>
            </w:tcBorders>
            <w:shd w:val="clear" w:color="auto" w:fill="D3DFEE" w:themeFill="accent1" w:themeFillTint="3F"/>
          </w:tcPr>
          <w:p w:rsidR="00185D0F" w:rsidRPr="00645899" w:rsidRDefault="00185D0F" w:rsidP="00C45C6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8" w:hanging="270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Commercial Insurance</w:t>
            </w:r>
          </w:p>
          <w:p w:rsidR="00185D0F" w:rsidRPr="00645899" w:rsidRDefault="00185D0F" w:rsidP="00C45C6E">
            <w:pPr>
              <w:pStyle w:val="ListParagraph"/>
              <w:numPr>
                <w:ilvl w:val="7"/>
                <w:numId w:val="13"/>
              </w:numPr>
              <w:spacing w:after="0" w:line="240" w:lineRule="auto"/>
              <w:ind w:left="630" w:hanging="27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>Property Insurance, Business Interruption</w:t>
            </w:r>
          </w:p>
          <w:p w:rsidR="00185D0F" w:rsidRPr="00645899" w:rsidRDefault="00185D0F" w:rsidP="00C45C6E">
            <w:pPr>
              <w:pStyle w:val="ListParagraph"/>
              <w:numPr>
                <w:ilvl w:val="7"/>
                <w:numId w:val="13"/>
              </w:numPr>
              <w:spacing w:after="0" w:line="240" w:lineRule="auto"/>
              <w:ind w:left="630" w:hanging="27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>General Liability Insurance</w:t>
            </w:r>
          </w:p>
          <w:p w:rsidR="00185D0F" w:rsidRPr="00645899" w:rsidRDefault="00185D0F" w:rsidP="00C45C6E">
            <w:pPr>
              <w:pStyle w:val="ListParagraph"/>
              <w:numPr>
                <w:ilvl w:val="7"/>
                <w:numId w:val="13"/>
              </w:numPr>
              <w:spacing w:after="0" w:line="240" w:lineRule="auto"/>
              <w:ind w:left="630" w:hanging="27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>Commercial Umbrella</w:t>
            </w:r>
          </w:p>
          <w:p w:rsidR="00185D0F" w:rsidRPr="00645899" w:rsidRDefault="00185D0F" w:rsidP="00C45C6E">
            <w:pPr>
              <w:pStyle w:val="ListParagraph"/>
              <w:numPr>
                <w:ilvl w:val="7"/>
                <w:numId w:val="13"/>
              </w:numPr>
              <w:spacing w:after="0" w:line="240" w:lineRule="auto"/>
              <w:ind w:left="630" w:hanging="27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 xml:space="preserve">Workers’ Compensation </w:t>
            </w:r>
            <w:r w:rsidRPr="00645899">
              <w:rPr>
                <w:rFonts w:asciiTheme="minorHAnsi" w:eastAsiaTheme="minorHAnsi" w:hAnsiTheme="minorHAnsi" w:cstheme="minorBidi"/>
                <w:b/>
                <w:bCs/>
                <w:i/>
              </w:rPr>
              <w:t>or</w:t>
            </w:r>
          </w:p>
          <w:p w:rsidR="00185D0F" w:rsidRPr="00645899" w:rsidRDefault="00185D0F" w:rsidP="00645899">
            <w:pPr>
              <w:pStyle w:val="ListParagraph"/>
              <w:spacing w:after="0" w:line="240" w:lineRule="auto"/>
              <w:ind w:left="63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 xml:space="preserve">ERISA Plan </w:t>
            </w:r>
            <w:proofErr w:type="spellStart"/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>Nonsubscription</w:t>
            </w:r>
            <w:proofErr w:type="spellEnd"/>
          </w:p>
          <w:p w:rsidR="00185D0F" w:rsidRPr="00645899" w:rsidRDefault="00185D0F" w:rsidP="00C45C6E">
            <w:pPr>
              <w:pStyle w:val="ListParagraph"/>
              <w:numPr>
                <w:ilvl w:val="7"/>
                <w:numId w:val="13"/>
              </w:numPr>
              <w:spacing w:after="0" w:line="240" w:lineRule="auto"/>
              <w:ind w:left="630" w:hanging="27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 xml:space="preserve">Commercial Auto </w:t>
            </w:r>
          </w:p>
          <w:p w:rsidR="00185D0F" w:rsidRPr="00645899" w:rsidRDefault="00185D0F" w:rsidP="00C45C6E">
            <w:pPr>
              <w:pStyle w:val="ListParagraph"/>
              <w:numPr>
                <w:ilvl w:val="7"/>
                <w:numId w:val="13"/>
              </w:numPr>
              <w:spacing w:after="0" w:line="240" w:lineRule="auto"/>
              <w:ind w:left="634" w:hanging="274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</w:rPr>
              <w:t>Crime Insurance</w:t>
            </w:r>
          </w:p>
          <w:tbl>
            <w:tblPr>
              <w:tblpPr w:leftFromText="180" w:rightFromText="180" w:vertAnchor="text" w:horzAnchor="page" w:tblpX="542" w:tblpY="147"/>
              <w:tblOverlap w:val="never"/>
              <w:tblW w:w="5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425"/>
              <w:gridCol w:w="2970"/>
            </w:tblGrid>
            <w:tr w:rsidR="004477CE" w:rsidRPr="00645899" w:rsidTr="00C45C6E">
              <w:trPr>
                <w:trHeight w:hRule="exact" w:val="282"/>
              </w:trPr>
              <w:tc>
                <w:tcPr>
                  <w:tcW w:w="2425" w:type="dxa"/>
                  <w:vAlign w:val="center"/>
                </w:tcPr>
                <w:p w:rsidR="004477CE" w:rsidRPr="00645899" w:rsidRDefault="004477CE" w:rsidP="004477CE">
                  <w:pPr>
                    <w:pStyle w:val="Header"/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</w:pPr>
                  <w:r w:rsidRPr="00645899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>A1 – Employee Theft</w:t>
                  </w:r>
                </w:p>
              </w:tc>
              <w:tc>
                <w:tcPr>
                  <w:tcW w:w="2970" w:type="dxa"/>
                  <w:vAlign w:val="center"/>
                </w:tcPr>
                <w:p w:rsidR="004477CE" w:rsidRPr="00645899" w:rsidRDefault="004477CE" w:rsidP="004477CE">
                  <w:pPr>
                    <w:pStyle w:val="Header"/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</w:pPr>
                  <w:r w:rsidRPr="00645899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>F1 – Computer Fraud</w:t>
                  </w:r>
                </w:p>
              </w:tc>
            </w:tr>
            <w:tr w:rsidR="004477CE" w:rsidRPr="00645899" w:rsidTr="00C45C6E">
              <w:trPr>
                <w:trHeight w:hRule="exact" w:val="288"/>
              </w:trPr>
              <w:tc>
                <w:tcPr>
                  <w:tcW w:w="2425" w:type="dxa"/>
                  <w:vAlign w:val="center"/>
                </w:tcPr>
                <w:p w:rsidR="004477CE" w:rsidRPr="00645899" w:rsidRDefault="004477CE" w:rsidP="004477CE">
                  <w:pPr>
                    <w:pStyle w:val="Header"/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</w:pPr>
                  <w:r w:rsidRPr="00645899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>A2 - ERISA</w:t>
                  </w:r>
                </w:p>
              </w:tc>
              <w:tc>
                <w:tcPr>
                  <w:tcW w:w="2970" w:type="dxa"/>
                  <w:vAlign w:val="center"/>
                </w:tcPr>
                <w:p w:rsidR="004477CE" w:rsidRPr="00645899" w:rsidRDefault="004477CE" w:rsidP="004477CE">
                  <w:pPr>
                    <w:pStyle w:val="Header"/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</w:pPr>
                  <w:r w:rsidRPr="00645899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>F2 – Computer</w:t>
                  </w:r>
                  <w:r w:rsidR="00C45C6E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 xml:space="preserve"> Restoration</w:t>
                  </w:r>
                  <w:r w:rsidRPr="00645899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C45C6E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>RrResRestoration</w:t>
                  </w:r>
                  <w:r w:rsidRPr="00645899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>Restoration</w:t>
                  </w:r>
                  <w:proofErr w:type="spellEnd"/>
                </w:p>
              </w:tc>
            </w:tr>
            <w:tr w:rsidR="004477CE" w:rsidRPr="00645899" w:rsidTr="00C45C6E">
              <w:trPr>
                <w:trHeight w:hRule="exact" w:val="264"/>
              </w:trPr>
              <w:tc>
                <w:tcPr>
                  <w:tcW w:w="2425" w:type="dxa"/>
                  <w:vAlign w:val="center"/>
                </w:tcPr>
                <w:p w:rsidR="004477CE" w:rsidRPr="00645899" w:rsidRDefault="004477CE" w:rsidP="004477CE">
                  <w:pPr>
                    <w:pStyle w:val="Header"/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</w:pPr>
                  <w:r w:rsidRPr="00645899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>B - Forgery</w:t>
                  </w:r>
                </w:p>
              </w:tc>
              <w:tc>
                <w:tcPr>
                  <w:tcW w:w="2970" w:type="dxa"/>
                  <w:vAlign w:val="center"/>
                </w:tcPr>
                <w:p w:rsidR="004477CE" w:rsidRPr="00645899" w:rsidRDefault="004477CE" w:rsidP="004477CE">
                  <w:pPr>
                    <w:pStyle w:val="Header"/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</w:pPr>
                  <w:r w:rsidRPr="00645899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>G – Funds Transfer Fraud</w:t>
                  </w:r>
                </w:p>
              </w:tc>
            </w:tr>
            <w:tr w:rsidR="004477CE" w:rsidRPr="00645899" w:rsidTr="00C45C6E">
              <w:trPr>
                <w:trHeight w:hRule="exact" w:val="237"/>
              </w:trPr>
              <w:tc>
                <w:tcPr>
                  <w:tcW w:w="2425" w:type="dxa"/>
                  <w:vAlign w:val="center"/>
                </w:tcPr>
                <w:p w:rsidR="004477CE" w:rsidRPr="00645899" w:rsidRDefault="004477CE" w:rsidP="004477CE">
                  <w:pPr>
                    <w:pStyle w:val="Header"/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</w:pPr>
                  <w:r w:rsidRPr="00645899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>C – On Premises</w:t>
                  </w:r>
                </w:p>
              </w:tc>
              <w:tc>
                <w:tcPr>
                  <w:tcW w:w="2970" w:type="dxa"/>
                  <w:vAlign w:val="center"/>
                </w:tcPr>
                <w:p w:rsidR="004477CE" w:rsidRPr="00645899" w:rsidRDefault="004477CE" w:rsidP="004477CE">
                  <w:pPr>
                    <w:pStyle w:val="Header"/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</w:pPr>
                  <w:r w:rsidRPr="00645899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>H1 – Personal Accts</w:t>
                  </w:r>
                </w:p>
              </w:tc>
            </w:tr>
            <w:tr w:rsidR="004477CE" w:rsidRPr="00645899" w:rsidTr="00C45C6E">
              <w:trPr>
                <w:trHeight w:hRule="exact" w:val="219"/>
              </w:trPr>
              <w:tc>
                <w:tcPr>
                  <w:tcW w:w="2425" w:type="dxa"/>
                  <w:vAlign w:val="center"/>
                </w:tcPr>
                <w:p w:rsidR="004477CE" w:rsidRPr="00645899" w:rsidRDefault="004477CE" w:rsidP="004477CE">
                  <w:pPr>
                    <w:pStyle w:val="Header"/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</w:pPr>
                  <w:r w:rsidRPr="00645899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>D – In Transit</w:t>
                  </w:r>
                </w:p>
              </w:tc>
              <w:tc>
                <w:tcPr>
                  <w:tcW w:w="2970" w:type="dxa"/>
                  <w:vAlign w:val="center"/>
                </w:tcPr>
                <w:p w:rsidR="004477CE" w:rsidRPr="00645899" w:rsidRDefault="004477CE" w:rsidP="004477CE">
                  <w:pPr>
                    <w:pStyle w:val="Header"/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</w:pPr>
                  <w:r w:rsidRPr="00645899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>I – Claim Expense</w:t>
                  </w:r>
                </w:p>
              </w:tc>
            </w:tr>
            <w:tr w:rsidR="004477CE" w:rsidRPr="00645899" w:rsidTr="00C45C6E">
              <w:trPr>
                <w:trHeight w:hRule="exact" w:val="255"/>
              </w:trPr>
              <w:tc>
                <w:tcPr>
                  <w:tcW w:w="2425" w:type="dxa"/>
                  <w:vAlign w:val="center"/>
                </w:tcPr>
                <w:p w:rsidR="004477CE" w:rsidRPr="00645899" w:rsidRDefault="004477CE" w:rsidP="004477CE">
                  <w:pPr>
                    <w:pStyle w:val="Header"/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</w:pPr>
                  <w:r w:rsidRPr="00645899"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  <w:t>E – Money Order &amp; CC</w:t>
                  </w:r>
                </w:p>
              </w:tc>
              <w:tc>
                <w:tcPr>
                  <w:tcW w:w="2970" w:type="dxa"/>
                  <w:vAlign w:val="center"/>
                </w:tcPr>
                <w:p w:rsidR="004477CE" w:rsidRPr="00645899" w:rsidRDefault="004477CE" w:rsidP="004477CE">
                  <w:pPr>
                    <w:pStyle w:val="Header"/>
                    <w:rPr>
                      <w:rFonts w:asciiTheme="minorHAnsi" w:eastAsiaTheme="minorHAnsi" w:hAnsiTheme="minorHAnsi" w:cstheme="minorBidi"/>
                      <w:sz w:val="18"/>
                      <w:szCs w:val="20"/>
                    </w:rPr>
                  </w:pPr>
                </w:p>
              </w:tc>
            </w:tr>
          </w:tbl>
          <w:p w:rsidR="00185D0F" w:rsidRPr="00645899" w:rsidRDefault="00185D0F" w:rsidP="00645899">
            <w:pPr>
              <w:pStyle w:val="ListParagraph"/>
              <w:spacing w:after="0" w:line="240" w:lineRule="auto"/>
              <w:ind w:left="630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:rsidR="00185D0F" w:rsidRPr="00645899" w:rsidRDefault="00185D0F" w:rsidP="0064589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4410" w:type="dxa"/>
            <w:tcBorders>
              <w:left w:val="nil"/>
            </w:tcBorders>
            <w:shd w:val="clear" w:color="auto" w:fill="D3DFEE" w:themeFill="accent1" w:themeFillTint="3F"/>
          </w:tcPr>
          <w:p w:rsidR="00185D0F" w:rsidRPr="00645899" w:rsidRDefault="00185D0F" w:rsidP="00645899">
            <w:pPr>
              <w:spacing w:after="0" w:line="240" w:lineRule="auto"/>
              <w:ind w:left="360"/>
              <w:jc w:val="both"/>
              <w:rPr>
                <w:rFonts w:asciiTheme="minorHAnsi" w:eastAsiaTheme="minorHAnsi" w:hAnsiTheme="minorHAnsi" w:cstheme="minorBidi"/>
              </w:rPr>
            </w:pPr>
          </w:p>
          <w:p w:rsidR="00185D0F" w:rsidRPr="00645899" w:rsidRDefault="00185D0F" w:rsidP="00645899">
            <w:pPr>
              <w:spacing w:after="0" w:line="240" w:lineRule="auto"/>
              <w:ind w:left="360"/>
              <w:jc w:val="both"/>
              <w:rPr>
                <w:rFonts w:asciiTheme="minorHAnsi" w:eastAsiaTheme="minorHAnsi" w:hAnsiTheme="minorHAnsi" w:cstheme="minorBidi"/>
              </w:rPr>
            </w:pPr>
          </w:p>
          <w:p w:rsidR="00185D0F" w:rsidRPr="00645899" w:rsidRDefault="00185D0F" w:rsidP="00645899">
            <w:pPr>
              <w:spacing w:after="0" w:line="240" w:lineRule="auto"/>
              <w:ind w:left="360"/>
              <w:jc w:val="both"/>
              <w:rPr>
                <w:rFonts w:asciiTheme="minorHAnsi" w:eastAsiaTheme="minorHAnsi" w:hAnsiTheme="minorHAnsi" w:cstheme="minorBidi"/>
              </w:rPr>
            </w:pPr>
          </w:p>
          <w:p w:rsidR="00185D0F" w:rsidRPr="00645899" w:rsidRDefault="00185D0F" w:rsidP="00645899">
            <w:pPr>
              <w:spacing w:after="0" w:line="240" w:lineRule="auto"/>
              <w:ind w:left="360"/>
              <w:jc w:val="both"/>
              <w:rPr>
                <w:rFonts w:asciiTheme="minorHAnsi" w:eastAsiaTheme="minorHAnsi" w:hAnsiTheme="minorHAnsi" w:cstheme="minorBidi"/>
              </w:rPr>
            </w:pPr>
          </w:p>
          <w:p w:rsidR="00185D0F" w:rsidRPr="00645899" w:rsidRDefault="00185D0F" w:rsidP="00645899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inorHAnsi" w:eastAsiaTheme="minorHAnsi" w:hAnsiTheme="minorHAnsi" w:cs="Courier New"/>
                <w:sz w:val="20"/>
                <w:szCs w:val="20"/>
              </w:rPr>
            </w:pPr>
            <w:r w:rsidRPr="00645899">
              <w:rPr>
                <w:rFonts w:asciiTheme="minorHAnsi" w:eastAsiaTheme="minorHAnsi" w:hAnsiTheme="minorHAnsi" w:cstheme="minorBidi"/>
              </w:rPr>
              <w:t xml:space="preserve">d.  </w:t>
            </w:r>
            <w:proofErr w:type="spellStart"/>
            <w:r w:rsidRPr="00645899">
              <w:rPr>
                <w:rFonts w:asciiTheme="minorHAnsi" w:eastAsiaTheme="minorHAnsi" w:hAnsiTheme="minorHAnsi" w:cstheme="minorBidi"/>
              </w:rPr>
              <w:t>OSHCON</w:t>
            </w:r>
            <w:proofErr w:type="spellEnd"/>
            <w:r w:rsidRPr="00645899">
              <w:rPr>
                <w:rFonts w:asciiTheme="minorHAnsi" w:eastAsiaTheme="minorHAnsi" w:hAnsiTheme="minorHAnsi" w:cstheme="minorBidi"/>
              </w:rPr>
              <w:t xml:space="preserve"> Review</w:t>
            </w:r>
            <w:r w:rsidRPr="00645899">
              <w:rPr>
                <w:rFonts w:asciiTheme="minorHAnsi" w:eastAsiaTheme="minorHAnsi" w:hAnsiTheme="minorHAnsi" w:cs="Courier New"/>
                <w:sz w:val="20"/>
                <w:szCs w:val="20"/>
              </w:rPr>
              <w:t xml:space="preserve"> </w:t>
            </w:r>
            <w:r w:rsidR="00DA6882">
              <w:rPr>
                <w:rFonts w:asciiTheme="minorHAnsi" w:eastAsiaTheme="minorHAnsi" w:hAnsiTheme="minorHAnsi" w:cs="Courier New"/>
                <w:sz w:val="20"/>
                <w:szCs w:val="20"/>
              </w:rPr>
              <w:t>– Free OSHA Compliance Survey performed on-site by Texas Department of Insurance</w:t>
            </w:r>
          </w:p>
          <w:p w:rsidR="00185D0F" w:rsidRPr="00645899" w:rsidRDefault="00185D0F" w:rsidP="00645899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inorHAnsi" w:eastAsiaTheme="minorHAnsi" w:hAnsiTheme="minorHAnsi" w:cs="Courier New"/>
                <w:sz w:val="20"/>
                <w:szCs w:val="20"/>
              </w:rPr>
            </w:pPr>
          </w:p>
          <w:p w:rsidR="00185D0F" w:rsidRPr="00645899" w:rsidRDefault="00185D0F" w:rsidP="00645899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inorHAnsi" w:eastAsiaTheme="minorHAnsi" w:hAnsiTheme="minorHAnsi" w:cs="Courier New"/>
                <w:sz w:val="20"/>
                <w:szCs w:val="20"/>
              </w:rPr>
            </w:pPr>
          </w:p>
          <w:p w:rsidR="00185D0F" w:rsidRPr="00645899" w:rsidRDefault="00185D0F" w:rsidP="00645899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inorHAnsi" w:eastAsiaTheme="minorHAnsi" w:hAnsiTheme="minorHAnsi" w:cs="Courier New"/>
                <w:sz w:val="20"/>
                <w:szCs w:val="20"/>
              </w:rPr>
            </w:pPr>
            <w:r w:rsidRPr="00645899">
              <w:rPr>
                <w:rFonts w:asciiTheme="minorHAnsi" w:eastAsiaTheme="minorHAnsi" w:hAnsiTheme="minorHAnsi" w:cs="Courier New"/>
                <w:sz w:val="20"/>
                <w:szCs w:val="20"/>
              </w:rPr>
              <w:t xml:space="preserve">f.  Resource for Bank Fraud Information and Fraud Assessment: </w:t>
            </w:r>
          </w:p>
          <w:p w:rsidR="00185D0F" w:rsidRPr="00645899" w:rsidRDefault="00185D0F" w:rsidP="00645899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Theme="minorHAnsi" w:eastAsiaTheme="minorHAnsi" w:hAnsiTheme="minorHAnsi" w:cs="Courier New"/>
                <w:sz w:val="20"/>
                <w:szCs w:val="20"/>
              </w:rPr>
            </w:pPr>
          </w:p>
          <w:p w:rsidR="00185D0F" w:rsidRPr="00645899" w:rsidRDefault="00185D0F" w:rsidP="00645899">
            <w:pPr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Theme="minorHAnsi" w:eastAsiaTheme="minorHAnsi" w:hAnsiTheme="minorHAnsi" w:cs="Courier New"/>
                <w:sz w:val="20"/>
                <w:szCs w:val="20"/>
              </w:rPr>
            </w:pPr>
            <w:r w:rsidRPr="00645899">
              <w:rPr>
                <w:rFonts w:asciiTheme="minorHAnsi" w:eastAsiaTheme="minorHAnsi" w:hAnsiTheme="minorHAnsi" w:cs="Courier New"/>
                <w:b/>
                <w:sz w:val="20"/>
                <w:szCs w:val="20"/>
              </w:rPr>
              <w:t>Joan M. Calhoun</w:t>
            </w:r>
          </w:p>
          <w:p w:rsidR="00185D0F" w:rsidRPr="00645899" w:rsidRDefault="00185D0F" w:rsidP="00645899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Theme="minorHAnsi" w:hAnsiTheme="minorHAnsi" w:cs="Courier New"/>
                <w:i/>
                <w:sz w:val="20"/>
                <w:szCs w:val="20"/>
              </w:rPr>
            </w:pPr>
            <w:r w:rsidRPr="00645899">
              <w:rPr>
                <w:rFonts w:asciiTheme="minorHAnsi" w:eastAsiaTheme="minorHAnsi" w:hAnsiTheme="minorHAnsi" w:cs="Courier New"/>
                <w:i/>
                <w:sz w:val="20"/>
                <w:szCs w:val="20"/>
              </w:rPr>
              <w:t>Vice President,</w:t>
            </w:r>
          </w:p>
          <w:p w:rsidR="00185D0F" w:rsidRPr="00645899" w:rsidRDefault="00185D0F" w:rsidP="00645899">
            <w:pPr>
              <w:autoSpaceDE w:val="0"/>
              <w:autoSpaceDN w:val="0"/>
              <w:adjustRightInd w:val="0"/>
              <w:spacing w:after="0" w:line="240" w:lineRule="auto"/>
              <w:ind w:left="432" w:right="-108" w:hanging="90"/>
              <w:rPr>
                <w:rFonts w:asciiTheme="minorHAnsi" w:eastAsiaTheme="minorHAnsi" w:hAnsiTheme="minorHAnsi" w:cs="Courier New"/>
                <w:i/>
                <w:sz w:val="20"/>
                <w:szCs w:val="20"/>
              </w:rPr>
            </w:pPr>
            <w:r w:rsidRPr="00645899">
              <w:rPr>
                <w:rFonts w:asciiTheme="minorHAnsi" w:eastAsiaTheme="minorHAnsi" w:hAnsiTheme="minorHAnsi" w:cs="Courier New"/>
                <w:i/>
                <w:sz w:val="20"/>
                <w:szCs w:val="20"/>
              </w:rPr>
              <w:t>Dallas Treasury Sales Manager</w:t>
            </w:r>
          </w:p>
          <w:p w:rsidR="00185D0F" w:rsidRPr="00645899" w:rsidRDefault="00185D0F" w:rsidP="00645899">
            <w:pPr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Theme="minorHAnsi" w:eastAsiaTheme="minorHAnsi" w:hAnsiTheme="minorHAnsi" w:cs="Courier New"/>
                <w:sz w:val="20"/>
                <w:szCs w:val="20"/>
              </w:rPr>
            </w:pPr>
            <w:r w:rsidRPr="00645899">
              <w:rPr>
                <w:rFonts w:asciiTheme="minorHAnsi" w:eastAsiaTheme="minorHAnsi" w:hAnsiTheme="minorHAnsi" w:cs="Courier New"/>
                <w:sz w:val="20"/>
                <w:szCs w:val="20"/>
              </w:rPr>
              <w:t>Frost Bank</w:t>
            </w:r>
          </w:p>
          <w:p w:rsidR="00185D0F" w:rsidRPr="00645899" w:rsidRDefault="00185D0F" w:rsidP="00645899">
            <w:pPr>
              <w:spacing w:after="0" w:line="240" w:lineRule="auto"/>
              <w:ind w:left="252" w:hanging="270"/>
              <w:jc w:val="both"/>
              <w:rPr>
                <w:rFonts w:asciiTheme="minorHAnsi" w:eastAsiaTheme="minorHAnsi" w:hAnsiTheme="minorHAnsi" w:cstheme="minorBidi"/>
              </w:rPr>
            </w:pPr>
          </w:p>
        </w:tc>
      </w:tr>
      <w:tr w:rsidR="00185D0F" w:rsidRPr="00645899" w:rsidTr="0067320D">
        <w:trPr>
          <w:trHeight w:val="1095"/>
        </w:trPr>
        <w:tc>
          <w:tcPr>
            <w:tcW w:w="6408" w:type="dxa"/>
            <w:tcBorders>
              <w:right w:val="nil"/>
            </w:tcBorders>
          </w:tcPr>
          <w:p w:rsidR="00185D0F" w:rsidRPr="00645899" w:rsidRDefault="00185D0F" w:rsidP="00C45C6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0" w:hanging="270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64589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Other</w:t>
            </w:r>
          </w:p>
          <w:p w:rsidR="00185D0F" w:rsidRPr="00A3554E" w:rsidRDefault="00185D0F" w:rsidP="00C45C6E">
            <w:pPr>
              <w:pStyle w:val="ListParagraph"/>
              <w:numPr>
                <w:ilvl w:val="7"/>
                <w:numId w:val="13"/>
              </w:numPr>
              <w:spacing w:after="0" w:line="240" w:lineRule="auto"/>
              <w:ind w:left="630" w:hanging="270"/>
              <w:rPr>
                <w:rFonts w:asciiTheme="minorHAnsi" w:eastAsiaTheme="minorHAnsi" w:hAnsiTheme="minorHAnsi" w:cstheme="minorBidi"/>
                <w:b/>
                <w:bCs/>
                <w:sz w:val="21"/>
                <w:szCs w:val="21"/>
              </w:rPr>
            </w:pPr>
            <w:r w:rsidRPr="00A3554E">
              <w:rPr>
                <w:rFonts w:asciiTheme="minorHAnsi" w:eastAsiaTheme="minorHAnsi" w:hAnsiTheme="minorHAnsi" w:cstheme="minorBidi"/>
                <w:b/>
                <w:bCs/>
                <w:sz w:val="21"/>
                <w:szCs w:val="21"/>
              </w:rPr>
              <w:t xml:space="preserve">Business </w:t>
            </w:r>
            <w:r w:rsidR="00AB002C" w:rsidRPr="00A3554E">
              <w:rPr>
                <w:rFonts w:asciiTheme="minorHAnsi" w:eastAsiaTheme="minorHAnsi" w:hAnsiTheme="minorHAnsi" w:cstheme="minorBidi"/>
                <w:b/>
                <w:bCs/>
                <w:sz w:val="21"/>
                <w:szCs w:val="21"/>
              </w:rPr>
              <w:t>Continuation</w:t>
            </w:r>
          </w:p>
          <w:p w:rsidR="00185D0F" w:rsidRPr="00A3554E" w:rsidRDefault="00185D0F" w:rsidP="00C45C6E">
            <w:pPr>
              <w:pStyle w:val="ListParagraph"/>
              <w:numPr>
                <w:ilvl w:val="7"/>
                <w:numId w:val="13"/>
              </w:numPr>
              <w:spacing w:after="0" w:line="240" w:lineRule="auto"/>
              <w:ind w:left="630" w:hanging="270"/>
              <w:rPr>
                <w:rFonts w:asciiTheme="minorHAnsi" w:eastAsiaTheme="minorHAnsi" w:hAnsiTheme="minorHAnsi" w:cstheme="minorBidi"/>
                <w:b/>
                <w:bCs/>
                <w:sz w:val="21"/>
                <w:szCs w:val="21"/>
              </w:rPr>
            </w:pPr>
            <w:r w:rsidRPr="00A3554E">
              <w:rPr>
                <w:rFonts w:asciiTheme="minorHAnsi" w:eastAsiaTheme="minorHAnsi" w:hAnsiTheme="minorHAnsi" w:cstheme="minorBidi"/>
                <w:b/>
                <w:bCs/>
                <w:sz w:val="21"/>
                <w:szCs w:val="21"/>
              </w:rPr>
              <w:t>Life &amp; Disability Income</w:t>
            </w:r>
          </w:p>
          <w:p w:rsidR="004477CE" w:rsidRPr="004477CE" w:rsidRDefault="0067320D" w:rsidP="00C45C6E">
            <w:pPr>
              <w:pStyle w:val="ListParagraph"/>
              <w:numPr>
                <w:ilvl w:val="7"/>
                <w:numId w:val="13"/>
              </w:numPr>
              <w:spacing w:after="0" w:line="240" w:lineRule="auto"/>
              <w:ind w:left="630" w:hanging="270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A3554E">
              <w:rPr>
                <w:rFonts w:asciiTheme="minorHAnsi" w:eastAsiaTheme="minorHAnsi" w:hAnsiTheme="minorHAnsi" w:cstheme="minorBidi"/>
                <w:b/>
                <w:bCs/>
                <w:sz w:val="21"/>
                <w:szCs w:val="21"/>
              </w:rPr>
              <w:t>Homeowners, Personal Auto, Umbrell</w:t>
            </w:r>
            <w:r w:rsidR="004477CE" w:rsidRPr="00A3554E">
              <w:rPr>
                <w:rFonts w:asciiTheme="minorHAnsi" w:eastAsiaTheme="minorHAnsi" w:hAnsiTheme="minorHAnsi" w:cstheme="minorBid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410" w:type="dxa"/>
            <w:tcBorders>
              <w:left w:val="nil"/>
            </w:tcBorders>
          </w:tcPr>
          <w:p w:rsidR="00185D0F" w:rsidRPr="00645899" w:rsidRDefault="00185D0F" w:rsidP="00645899">
            <w:pPr>
              <w:spacing w:before="120" w:after="120" w:line="240" w:lineRule="auto"/>
              <w:ind w:left="360"/>
              <w:jc w:val="both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6B4FAF" w:rsidRPr="0016514E" w:rsidRDefault="006B4FAF" w:rsidP="0016514E">
      <w:pPr>
        <w:rPr>
          <w:sz w:val="24"/>
          <w:szCs w:val="24"/>
        </w:rPr>
      </w:pPr>
    </w:p>
    <w:sectPr w:rsidR="006B4FAF" w:rsidRPr="0016514E" w:rsidSect="00A3554E">
      <w:footerReference w:type="default" r:id="rId11"/>
      <w:footerReference w:type="first" r:id="rId12"/>
      <w:pgSz w:w="12240" w:h="15840"/>
      <w:pgMar w:top="810" w:right="1440" w:bottom="900" w:left="1440" w:header="720" w:footer="33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0D" w:rsidRDefault="00CD560D" w:rsidP="00992E68">
      <w:pPr>
        <w:spacing w:after="0" w:line="240" w:lineRule="auto"/>
      </w:pPr>
      <w:r>
        <w:separator/>
      </w:r>
    </w:p>
  </w:endnote>
  <w:endnote w:type="continuationSeparator" w:id="0">
    <w:p w:rsidR="00CD560D" w:rsidRDefault="00CD560D" w:rsidP="0099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60D" w:rsidRPr="00B74CFB" w:rsidRDefault="00CD560D">
    <w:pPr>
      <w:pStyle w:val="Footer"/>
      <w:rPr>
        <w:sz w:val="18"/>
        <w:szCs w:val="18"/>
      </w:rPr>
    </w:pPr>
    <w:r w:rsidRPr="00B74CFB">
      <w:rPr>
        <w:b/>
        <w:sz w:val="18"/>
        <w:szCs w:val="18"/>
      </w:rPr>
      <w:t>Major Sources:</w:t>
    </w:r>
    <w:r w:rsidRPr="00B74CFB">
      <w:rPr>
        <w:sz w:val="18"/>
        <w:szCs w:val="18"/>
      </w:rPr>
      <w:t xml:space="preserve"> </w:t>
    </w:r>
    <w:r w:rsidRPr="00B74CFB">
      <w:rPr>
        <w:i/>
        <w:sz w:val="18"/>
        <w:szCs w:val="18"/>
      </w:rPr>
      <w:t>International Risk Management Institute, Inc (</w:t>
    </w:r>
    <w:proofErr w:type="spellStart"/>
    <w:r w:rsidRPr="00B74CFB">
      <w:rPr>
        <w:i/>
        <w:sz w:val="18"/>
        <w:szCs w:val="18"/>
      </w:rPr>
      <w:t>IRMI</w:t>
    </w:r>
    <w:proofErr w:type="spellEnd"/>
    <w:r w:rsidRPr="00B74CFB">
      <w:rPr>
        <w:i/>
        <w:sz w:val="18"/>
        <w:szCs w:val="18"/>
      </w:rPr>
      <w:t>); International Foundation of Employee Benefit Plans; Texas Department of Insurance; Chartered Property and Casualty Underwriter Society (CPCU); Certified Financial Planner Board of Standards; American Society for Healthcare Risk Management (</w:t>
    </w:r>
    <w:proofErr w:type="spellStart"/>
    <w:r w:rsidRPr="00B74CFB">
      <w:rPr>
        <w:i/>
        <w:sz w:val="18"/>
        <w:szCs w:val="18"/>
      </w:rPr>
      <w:t>ASHRM</w:t>
    </w:r>
    <w:proofErr w:type="spellEnd"/>
    <w:r w:rsidRPr="00B74CFB">
      <w:rPr>
        <w:i/>
        <w:sz w:val="18"/>
        <w:szCs w:val="18"/>
      </w:rPr>
      <w:t>)</w:t>
    </w:r>
    <w:r>
      <w:rPr>
        <w:i/>
        <w:sz w:val="18"/>
        <w:szCs w:val="18"/>
      </w:rPr>
      <w:t>, The Employment Guide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60D" w:rsidRPr="000D5791" w:rsidRDefault="00CD560D" w:rsidP="00992E68">
    <w:pPr>
      <w:pStyle w:val="Footer"/>
      <w:jc w:val="center"/>
      <w:rPr>
        <w:color w:val="7F7F7F" w:themeColor="text1" w:themeTint="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0D" w:rsidRDefault="00CD560D" w:rsidP="00992E68">
      <w:pPr>
        <w:spacing w:after="0" w:line="240" w:lineRule="auto"/>
      </w:pPr>
      <w:r>
        <w:separator/>
      </w:r>
    </w:p>
  </w:footnote>
  <w:footnote w:type="continuationSeparator" w:id="0">
    <w:p w:rsidR="00CD560D" w:rsidRDefault="00CD560D" w:rsidP="00992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B66"/>
    <w:multiLevelType w:val="hybridMultilevel"/>
    <w:tmpl w:val="5DF0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2E47"/>
    <w:multiLevelType w:val="hybridMultilevel"/>
    <w:tmpl w:val="F6FEF5E2"/>
    <w:lvl w:ilvl="0" w:tplc="BE262C1E">
      <w:start w:val="1"/>
      <w:numFmt w:val="lowerLetter"/>
      <w:lvlText w:val="%1."/>
      <w:lvlJc w:val="left"/>
      <w:pPr>
        <w:ind w:left="612" w:hanging="360"/>
      </w:pPr>
      <w:rPr>
        <w:rFonts w:cs="Courier Ne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00E0DC7"/>
    <w:multiLevelType w:val="hybridMultilevel"/>
    <w:tmpl w:val="A3D24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41A7"/>
    <w:multiLevelType w:val="hybridMultilevel"/>
    <w:tmpl w:val="099E4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96CC7"/>
    <w:multiLevelType w:val="hybridMultilevel"/>
    <w:tmpl w:val="53EA8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F7DBF"/>
    <w:multiLevelType w:val="hybridMultilevel"/>
    <w:tmpl w:val="D6A8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15F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445CB9"/>
    <w:multiLevelType w:val="hybridMultilevel"/>
    <w:tmpl w:val="168A1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5CAD"/>
    <w:multiLevelType w:val="hybridMultilevel"/>
    <w:tmpl w:val="5246D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12547"/>
    <w:multiLevelType w:val="hybridMultilevel"/>
    <w:tmpl w:val="96BC1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77174"/>
    <w:multiLevelType w:val="hybridMultilevel"/>
    <w:tmpl w:val="771E5F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40D07"/>
    <w:multiLevelType w:val="hybridMultilevel"/>
    <w:tmpl w:val="C9C4F9F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>
    <w:nsid w:val="47096D00"/>
    <w:multiLevelType w:val="hybridMultilevel"/>
    <w:tmpl w:val="0406B7D6"/>
    <w:lvl w:ilvl="0" w:tplc="54CC9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65E59"/>
    <w:multiLevelType w:val="hybridMultilevel"/>
    <w:tmpl w:val="322C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D74F4"/>
    <w:multiLevelType w:val="multilevel"/>
    <w:tmpl w:val="350ED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720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BEF6E38"/>
    <w:multiLevelType w:val="hybridMultilevel"/>
    <w:tmpl w:val="F3E4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719FB"/>
    <w:multiLevelType w:val="hybridMultilevel"/>
    <w:tmpl w:val="EA66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7308E"/>
    <w:multiLevelType w:val="hybridMultilevel"/>
    <w:tmpl w:val="C58A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B6BDA"/>
    <w:multiLevelType w:val="hybridMultilevel"/>
    <w:tmpl w:val="94AAE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9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A0026D"/>
    <w:multiLevelType w:val="hybridMultilevel"/>
    <w:tmpl w:val="812E4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12"/>
  </w:num>
  <w:num w:numId="7">
    <w:abstractNumId w:val="18"/>
  </w:num>
  <w:num w:numId="8">
    <w:abstractNumId w:val="0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9"/>
  </w:num>
  <w:num w:numId="14">
    <w:abstractNumId w:val="9"/>
  </w:num>
  <w:num w:numId="15">
    <w:abstractNumId w:val="11"/>
  </w:num>
  <w:num w:numId="16">
    <w:abstractNumId w:val="4"/>
  </w:num>
  <w:num w:numId="17">
    <w:abstractNumId w:val="10"/>
  </w:num>
  <w:num w:numId="18">
    <w:abstractNumId w:val="1"/>
  </w:num>
  <w:num w:numId="19">
    <w:abstractNumId w:val="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mailMerge>
    <w:mainDocumentType w:val="envelope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614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317EB"/>
    <w:rsid w:val="00012070"/>
    <w:rsid w:val="000421C8"/>
    <w:rsid w:val="0004371D"/>
    <w:rsid w:val="000450F0"/>
    <w:rsid w:val="00067C5F"/>
    <w:rsid w:val="000763FE"/>
    <w:rsid w:val="000D5791"/>
    <w:rsid w:val="000D6979"/>
    <w:rsid w:val="000E080C"/>
    <w:rsid w:val="000E4CC0"/>
    <w:rsid w:val="000E5BA8"/>
    <w:rsid w:val="000F02C5"/>
    <w:rsid w:val="000F3755"/>
    <w:rsid w:val="000F4BF2"/>
    <w:rsid w:val="001014AD"/>
    <w:rsid w:val="001078B1"/>
    <w:rsid w:val="00116F59"/>
    <w:rsid w:val="001257A3"/>
    <w:rsid w:val="0013052C"/>
    <w:rsid w:val="001345D7"/>
    <w:rsid w:val="001364B8"/>
    <w:rsid w:val="00141C13"/>
    <w:rsid w:val="00146219"/>
    <w:rsid w:val="00147586"/>
    <w:rsid w:val="001542B4"/>
    <w:rsid w:val="001555B5"/>
    <w:rsid w:val="0016514E"/>
    <w:rsid w:val="00174ACB"/>
    <w:rsid w:val="00185D0F"/>
    <w:rsid w:val="001A3EF5"/>
    <w:rsid w:val="001B41F6"/>
    <w:rsid w:val="001B5706"/>
    <w:rsid w:val="001C7326"/>
    <w:rsid w:val="001C73BD"/>
    <w:rsid w:val="001D0D61"/>
    <w:rsid w:val="001D4EA7"/>
    <w:rsid w:val="001E0039"/>
    <w:rsid w:val="001E0B37"/>
    <w:rsid w:val="001F01B2"/>
    <w:rsid w:val="001F0B50"/>
    <w:rsid w:val="001F0BE9"/>
    <w:rsid w:val="001F1617"/>
    <w:rsid w:val="001F236E"/>
    <w:rsid w:val="001F2C0D"/>
    <w:rsid w:val="00227B7E"/>
    <w:rsid w:val="002436DE"/>
    <w:rsid w:val="00250BA0"/>
    <w:rsid w:val="0025136B"/>
    <w:rsid w:val="00257725"/>
    <w:rsid w:val="00262692"/>
    <w:rsid w:val="0026421C"/>
    <w:rsid w:val="00265AC3"/>
    <w:rsid w:val="00270D52"/>
    <w:rsid w:val="0028201C"/>
    <w:rsid w:val="00294C0A"/>
    <w:rsid w:val="002A5FC4"/>
    <w:rsid w:val="002B2A60"/>
    <w:rsid w:val="002B6632"/>
    <w:rsid w:val="002C79A5"/>
    <w:rsid w:val="002D2EA1"/>
    <w:rsid w:val="002E1EF7"/>
    <w:rsid w:val="002E2E25"/>
    <w:rsid w:val="002E7CCC"/>
    <w:rsid w:val="002F1867"/>
    <w:rsid w:val="00304751"/>
    <w:rsid w:val="00311BF4"/>
    <w:rsid w:val="003149E1"/>
    <w:rsid w:val="00330600"/>
    <w:rsid w:val="00334057"/>
    <w:rsid w:val="00351E18"/>
    <w:rsid w:val="003530C2"/>
    <w:rsid w:val="00356798"/>
    <w:rsid w:val="00362214"/>
    <w:rsid w:val="00375B5C"/>
    <w:rsid w:val="00376FFC"/>
    <w:rsid w:val="00380B1B"/>
    <w:rsid w:val="0038166A"/>
    <w:rsid w:val="003963B1"/>
    <w:rsid w:val="003A7517"/>
    <w:rsid w:val="003B4D99"/>
    <w:rsid w:val="003D6536"/>
    <w:rsid w:val="003E6D39"/>
    <w:rsid w:val="003F4207"/>
    <w:rsid w:val="003F5B0E"/>
    <w:rsid w:val="00405DB2"/>
    <w:rsid w:val="00416776"/>
    <w:rsid w:val="004218E3"/>
    <w:rsid w:val="00440425"/>
    <w:rsid w:val="004477CE"/>
    <w:rsid w:val="00453A6D"/>
    <w:rsid w:val="004545F5"/>
    <w:rsid w:val="00463BDC"/>
    <w:rsid w:val="004671CC"/>
    <w:rsid w:val="0047322D"/>
    <w:rsid w:val="00497F78"/>
    <w:rsid w:val="004A0E91"/>
    <w:rsid w:val="004A5045"/>
    <w:rsid w:val="004B16E6"/>
    <w:rsid w:val="004C0069"/>
    <w:rsid w:val="004C5B05"/>
    <w:rsid w:val="004C7F81"/>
    <w:rsid w:val="004D0BF0"/>
    <w:rsid w:val="004E1666"/>
    <w:rsid w:val="004E4ADB"/>
    <w:rsid w:val="004F68E2"/>
    <w:rsid w:val="004F7865"/>
    <w:rsid w:val="0050298F"/>
    <w:rsid w:val="00503303"/>
    <w:rsid w:val="00506834"/>
    <w:rsid w:val="005074C9"/>
    <w:rsid w:val="00514713"/>
    <w:rsid w:val="00514ABF"/>
    <w:rsid w:val="00516BDB"/>
    <w:rsid w:val="0053521D"/>
    <w:rsid w:val="00540D6B"/>
    <w:rsid w:val="00561BD6"/>
    <w:rsid w:val="00563ABF"/>
    <w:rsid w:val="00567702"/>
    <w:rsid w:val="005717F2"/>
    <w:rsid w:val="005733DF"/>
    <w:rsid w:val="005800F6"/>
    <w:rsid w:val="00592C20"/>
    <w:rsid w:val="005B479A"/>
    <w:rsid w:val="005C06F1"/>
    <w:rsid w:val="005C074D"/>
    <w:rsid w:val="005C09C2"/>
    <w:rsid w:val="005C1EA1"/>
    <w:rsid w:val="005C6329"/>
    <w:rsid w:val="005F5967"/>
    <w:rsid w:val="00602DD9"/>
    <w:rsid w:val="00606510"/>
    <w:rsid w:val="00616980"/>
    <w:rsid w:val="0061761F"/>
    <w:rsid w:val="00617A39"/>
    <w:rsid w:val="00627285"/>
    <w:rsid w:val="0063295D"/>
    <w:rsid w:val="006361D1"/>
    <w:rsid w:val="00645899"/>
    <w:rsid w:val="00657FFC"/>
    <w:rsid w:val="00665648"/>
    <w:rsid w:val="00672D96"/>
    <w:rsid w:val="0067320D"/>
    <w:rsid w:val="00682F95"/>
    <w:rsid w:val="00683C5D"/>
    <w:rsid w:val="00694B59"/>
    <w:rsid w:val="006A138D"/>
    <w:rsid w:val="006B4FAF"/>
    <w:rsid w:val="006C74C1"/>
    <w:rsid w:val="006D12D4"/>
    <w:rsid w:val="006F0D03"/>
    <w:rsid w:val="00706E7D"/>
    <w:rsid w:val="00707F06"/>
    <w:rsid w:val="00726F2A"/>
    <w:rsid w:val="007334DA"/>
    <w:rsid w:val="007410C7"/>
    <w:rsid w:val="00746992"/>
    <w:rsid w:val="007551AA"/>
    <w:rsid w:val="00767EF8"/>
    <w:rsid w:val="007961F5"/>
    <w:rsid w:val="007A6130"/>
    <w:rsid w:val="007B4A68"/>
    <w:rsid w:val="007C432B"/>
    <w:rsid w:val="007E3508"/>
    <w:rsid w:val="007F506C"/>
    <w:rsid w:val="0080011E"/>
    <w:rsid w:val="00802A31"/>
    <w:rsid w:val="008056E1"/>
    <w:rsid w:val="00810100"/>
    <w:rsid w:val="00825067"/>
    <w:rsid w:val="008524D1"/>
    <w:rsid w:val="00855DCF"/>
    <w:rsid w:val="008568BD"/>
    <w:rsid w:val="00857FB9"/>
    <w:rsid w:val="00860E0E"/>
    <w:rsid w:val="00871649"/>
    <w:rsid w:val="00884C3B"/>
    <w:rsid w:val="008855E6"/>
    <w:rsid w:val="00894AD6"/>
    <w:rsid w:val="008A63FD"/>
    <w:rsid w:val="008B608B"/>
    <w:rsid w:val="008C27C2"/>
    <w:rsid w:val="008C4089"/>
    <w:rsid w:val="008D33DC"/>
    <w:rsid w:val="008E4AB3"/>
    <w:rsid w:val="008E5B15"/>
    <w:rsid w:val="008E6C29"/>
    <w:rsid w:val="008F45F9"/>
    <w:rsid w:val="00900364"/>
    <w:rsid w:val="00906D4B"/>
    <w:rsid w:val="00921951"/>
    <w:rsid w:val="00937746"/>
    <w:rsid w:val="009518E2"/>
    <w:rsid w:val="0095332A"/>
    <w:rsid w:val="0096273F"/>
    <w:rsid w:val="009658D1"/>
    <w:rsid w:val="00970DEB"/>
    <w:rsid w:val="00971DA6"/>
    <w:rsid w:val="00983C26"/>
    <w:rsid w:val="009843A3"/>
    <w:rsid w:val="00992E68"/>
    <w:rsid w:val="00996ADC"/>
    <w:rsid w:val="009B03BC"/>
    <w:rsid w:val="009C2D0E"/>
    <w:rsid w:val="009C592F"/>
    <w:rsid w:val="009C6B4F"/>
    <w:rsid w:val="009C7B63"/>
    <w:rsid w:val="009D5DBB"/>
    <w:rsid w:val="009D6A58"/>
    <w:rsid w:val="009D6C13"/>
    <w:rsid w:val="009E3EAC"/>
    <w:rsid w:val="009E5D31"/>
    <w:rsid w:val="009F6744"/>
    <w:rsid w:val="00A1182B"/>
    <w:rsid w:val="00A23DC5"/>
    <w:rsid w:val="00A32438"/>
    <w:rsid w:val="00A3554E"/>
    <w:rsid w:val="00A359C4"/>
    <w:rsid w:val="00A45B32"/>
    <w:rsid w:val="00A66926"/>
    <w:rsid w:val="00A71035"/>
    <w:rsid w:val="00A729A1"/>
    <w:rsid w:val="00A90D71"/>
    <w:rsid w:val="00AA69E1"/>
    <w:rsid w:val="00AB002C"/>
    <w:rsid w:val="00AC6B91"/>
    <w:rsid w:val="00AF0595"/>
    <w:rsid w:val="00AF5CF8"/>
    <w:rsid w:val="00B03773"/>
    <w:rsid w:val="00B10E60"/>
    <w:rsid w:val="00B12B80"/>
    <w:rsid w:val="00B1442A"/>
    <w:rsid w:val="00B14682"/>
    <w:rsid w:val="00B17145"/>
    <w:rsid w:val="00B30DC8"/>
    <w:rsid w:val="00B402EB"/>
    <w:rsid w:val="00B40B97"/>
    <w:rsid w:val="00B469C5"/>
    <w:rsid w:val="00B568B9"/>
    <w:rsid w:val="00B65BAA"/>
    <w:rsid w:val="00B7159B"/>
    <w:rsid w:val="00B72B15"/>
    <w:rsid w:val="00B74CFB"/>
    <w:rsid w:val="00B75A3A"/>
    <w:rsid w:val="00B7687A"/>
    <w:rsid w:val="00BC3FAA"/>
    <w:rsid w:val="00BD2FA5"/>
    <w:rsid w:val="00BD4842"/>
    <w:rsid w:val="00BD4EF3"/>
    <w:rsid w:val="00BD50DE"/>
    <w:rsid w:val="00BE30FA"/>
    <w:rsid w:val="00BE3449"/>
    <w:rsid w:val="00BE4E26"/>
    <w:rsid w:val="00BF0137"/>
    <w:rsid w:val="00BF0D4F"/>
    <w:rsid w:val="00BF524F"/>
    <w:rsid w:val="00C04041"/>
    <w:rsid w:val="00C13777"/>
    <w:rsid w:val="00C20E82"/>
    <w:rsid w:val="00C33062"/>
    <w:rsid w:val="00C45C6E"/>
    <w:rsid w:val="00C62019"/>
    <w:rsid w:val="00C71CCD"/>
    <w:rsid w:val="00C90FCE"/>
    <w:rsid w:val="00C9175B"/>
    <w:rsid w:val="00C96A22"/>
    <w:rsid w:val="00CA3B98"/>
    <w:rsid w:val="00CA4FD5"/>
    <w:rsid w:val="00CA5352"/>
    <w:rsid w:val="00CB3E61"/>
    <w:rsid w:val="00CD1159"/>
    <w:rsid w:val="00CD560D"/>
    <w:rsid w:val="00CE169E"/>
    <w:rsid w:val="00CE1921"/>
    <w:rsid w:val="00CF21BD"/>
    <w:rsid w:val="00CF7580"/>
    <w:rsid w:val="00D03B5C"/>
    <w:rsid w:val="00D41397"/>
    <w:rsid w:val="00D47B3F"/>
    <w:rsid w:val="00D523D5"/>
    <w:rsid w:val="00D66712"/>
    <w:rsid w:val="00D75B34"/>
    <w:rsid w:val="00D86E42"/>
    <w:rsid w:val="00D87440"/>
    <w:rsid w:val="00D905C4"/>
    <w:rsid w:val="00DA6882"/>
    <w:rsid w:val="00DB135E"/>
    <w:rsid w:val="00DC33CC"/>
    <w:rsid w:val="00DC58D3"/>
    <w:rsid w:val="00DC5A92"/>
    <w:rsid w:val="00DD28AA"/>
    <w:rsid w:val="00DE2B3C"/>
    <w:rsid w:val="00DF4BED"/>
    <w:rsid w:val="00DF584D"/>
    <w:rsid w:val="00E14437"/>
    <w:rsid w:val="00E233E0"/>
    <w:rsid w:val="00E34E22"/>
    <w:rsid w:val="00E417FA"/>
    <w:rsid w:val="00E92B93"/>
    <w:rsid w:val="00EC12DC"/>
    <w:rsid w:val="00EC4166"/>
    <w:rsid w:val="00ED68F3"/>
    <w:rsid w:val="00EE0E9B"/>
    <w:rsid w:val="00EE2332"/>
    <w:rsid w:val="00EE2F3C"/>
    <w:rsid w:val="00EF1C5C"/>
    <w:rsid w:val="00EF7146"/>
    <w:rsid w:val="00F21D5F"/>
    <w:rsid w:val="00F317EB"/>
    <w:rsid w:val="00F405DD"/>
    <w:rsid w:val="00F466F0"/>
    <w:rsid w:val="00F51266"/>
    <w:rsid w:val="00F57ED7"/>
    <w:rsid w:val="00F600B3"/>
    <w:rsid w:val="00F60F4D"/>
    <w:rsid w:val="00F73179"/>
    <w:rsid w:val="00F959F4"/>
    <w:rsid w:val="00FA2C02"/>
    <w:rsid w:val="00FB3AA4"/>
    <w:rsid w:val="00FB70BD"/>
    <w:rsid w:val="00FD4A96"/>
    <w:rsid w:val="00FE0C6B"/>
    <w:rsid w:val="00FF2DD6"/>
    <w:rsid w:val="00FF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7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F317E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uiPriority w:val="61"/>
    <w:rsid w:val="00F317E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F317E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F317E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317E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47586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47586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99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E68"/>
  </w:style>
  <w:style w:type="paragraph" w:styleId="Footer">
    <w:name w:val="footer"/>
    <w:basedOn w:val="Normal"/>
    <w:link w:val="FooterChar"/>
    <w:uiPriority w:val="99"/>
    <w:semiHidden/>
    <w:unhideWhenUsed/>
    <w:rsid w:val="0099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E68"/>
  </w:style>
  <w:style w:type="character" w:styleId="Hyperlink">
    <w:name w:val="Hyperlink"/>
    <w:basedOn w:val="DefaultParagraphFont"/>
    <w:uiPriority w:val="99"/>
    <w:unhideWhenUsed/>
    <w:rsid w:val="00996A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dvancedhrsolution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2010-06-28T00:00:00</PublishDate>
  <Abstract>Texas Digestive Disease Center</Abstract>
  <CompanyAddress/>
  <CompanyPhone/>
  <CompanyFax>214-522-0311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4159D0-383F-43A6-85D9-D2A0F871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Risk, Insurance, And Cost Control Survey</vt:lpstr>
    </vt:vector>
  </TitlesOfParts>
  <Company>Created By: Robert N. Madeley, CPCU, CLU Certified Financial Planner™</Company>
  <LinksUpToDate>false</LinksUpToDate>
  <CharactersWithSpaces>1910</CharactersWithSpaces>
  <SharedDoc>false</SharedDoc>
  <HLinks>
    <vt:vector size="6" baseType="variant">
      <vt:variant>
        <vt:i4>3473459</vt:i4>
      </vt:variant>
      <vt:variant>
        <vt:i4>0</vt:i4>
      </vt:variant>
      <vt:variant>
        <vt:i4>0</vt:i4>
      </vt:variant>
      <vt:variant>
        <vt:i4>5</vt:i4>
      </vt:variant>
      <vt:variant>
        <vt:lpwstr>http://www.advancedhrsolution.com/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Risk, Insurance, And Cost Control Survey</dc:title>
  <dc:subject/>
  <dc:creator>Prepared For:</dc:creator>
  <cp:keywords/>
  <dc:description/>
  <cp:lastModifiedBy>Tiffany Craiker</cp:lastModifiedBy>
  <cp:revision>2</cp:revision>
  <cp:lastPrinted>2011-10-20T14:38:00Z</cp:lastPrinted>
  <dcterms:created xsi:type="dcterms:W3CDTF">2012-05-21T15:50:00Z</dcterms:created>
  <dcterms:modified xsi:type="dcterms:W3CDTF">2012-05-21T15:50:00Z</dcterms:modified>
</cp:coreProperties>
</file>